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6955721" w:displacedByCustomXml="next"/>
    <w:bookmarkEnd w:id="0" w:displacedByCustomXml="next"/>
    <w:sdt>
      <w:sdtPr>
        <w:id w:val="99205188"/>
        <w:docPartObj>
          <w:docPartGallery w:val="Cover Pages"/>
          <w:docPartUnique/>
        </w:docPartObj>
      </w:sdtPr>
      <w:sdtEndPr/>
      <w:sdtContent>
        <w:p w14:paraId="2B486DD8" w14:textId="6F32C11B" w:rsidR="00584375" w:rsidRDefault="00C85305" w:rsidP="00584375">
          <w:r>
            <w:rPr>
              <w:noProof/>
              <w:lang w:eastAsia="en-GB"/>
            </w:rPr>
            <w:drawing>
              <wp:anchor distT="0" distB="0" distL="114300" distR="114300" simplePos="0" relativeHeight="251663360" behindDoc="1" locked="0" layoutInCell="1" allowOverlap="1" wp14:anchorId="09272D83" wp14:editId="049AE4E6">
                <wp:simplePos x="0" y="0"/>
                <wp:positionH relativeFrom="page">
                  <wp:align>center</wp:align>
                </wp:positionH>
                <wp:positionV relativeFrom="topMargin">
                  <wp:align>bottom</wp:align>
                </wp:positionV>
                <wp:extent cx="2033905" cy="384810"/>
                <wp:effectExtent l="0" t="0" r="444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elopment_Initiatives_Secondary Logo_Blue_CMYK.eps"/>
                        <pic:cNvPicPr/>
                      </pic:nvPicPr>
                      <pic:blipFill>
                        <a:blip r:embed="rId8"/>
                        <a:stretch>
                          <a:fillRect/>
                        </a:stretch>
                      </pic:blipFill>
                      <pic:spPr>
                        <a:xfrm>
                          <a:off x="0" y="0"/>
                          <a:ext cx="2033905" cy="384810"/>
                        </a:xfrm>
                        <a:prstGeom prst="rect">
                          <a:avLst/>
                        </a:prstGeom>
                      </pic:spPr>
                    </pic:pic>
                  </a:graphicData>
                </a:graphic>
                <wp14:sizeRelH relativeFrom="margin">
                  <wp14:pctWidth>0</wp14:pctWidth>
                </wp14:sizeRelH>
                <wp14:sizeRelV relativeFrom="margin">
                  <wp14:pctHeight>0</wp14:pctHeight>
                </wp14:sizeRelV>
              </wp:anchor>
            </w:drawing>
          </w:r>
        </w:p>
        <w:p w14:paraId="14AACF5D" w14:textId="760EE1DD" w:rsidR="00584375" w:rsidRDefault="00BA228D" w:rsidP="00584375">
          <w:r>
            <w:rPr>
              <w:noProof/>
              <w:lang w:eastAsia="en-GB"/>
            </w:rPr>
            <mc:AlternateContent>
              <mc:Choice Requires="wps">
                <w:drawing>
                  <wp:anchor distT="0" distB="0" distL="114300" distR="114300" simplePos="0" relativeHeight="251658244" behindDoc="0" locked="0" layoutInCell="1" allowOverlap="1" wp14:anchorId="02F2859D" wp14:editId="454C0CD1">
                    <wp:simplePos x="0" y="0"/>
                    <wp:positionH relativeFrom="page">
                      <wp:posOffset>2762250</wp:posOffset>
                    </wp:positionH>
                    <wp:positionV relativeFrom="paragraph">
                      <wp:posOffset>5514975</wp:posOffset>
                    </wp:positionV>
                    <wp:extent cx="4381500" cy="2733675"/>
                    <wp:effectExtent l="0" t="0" r="0" b="9525"/>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733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7AA031" w14:textId="3983BF40" w:rsidR="0025301F" w:rsidRPr="00B27F6F" w:rsidRDefault="0025301F" w:rsidP="00584375">
                                <w:pPr>
                                  <w:pStyle w:val="Dateofpublication"/>
                                  <w:rPr>
                                    <w:rFonts w:ascii="Arial" w:hAnsi="Arial" w:cs="Arial"/>
                                  </w:rPr>
                                </w:pPr>
                                <w:r>
                                  <w:rPr>
                                    <w:rFonts w:ascii="Arial" w:hAnsi="Arial" w:cs="Arial"/>
                                  </w:rPr>
                                  <w:t>March 2022</w:t>
                                </w:r>
                              </w:p>
                              <w:bookmarkStart w:id="1" w:name="_Hlk95247093" w:displacedByCustomXml="next"/>
                              <w:bookmarkStart w:id="2" w:name="_Hlk95247076" w:displacedByCustomXml="next"/>
                              <w:sdt>
                                <w:sdtPr>
                                  <w:rPr>
                                    <w:sz w:val="56"/>
                                    <w:szCs w:val="56"/>
                                  </w:rPr>
                                  <w:alias w:val="Title"/>
                                  <w:tag w:val=""/>
                                  <w:id w:val="1032615343"/>
                                  <w:placeholder>
                                    <w:docPart w:val="A215766856454104B0C99EF2C7DFC2E0"/>
                                  </w:placeholder>
                                  <w:dataBinding w:prefixMappings="xmlns:ns0='http://purl.org/dc/elements/1.1/' xmlns:ns1='http://schemas.openxmlformats.org/package/2006/metadata/core-properties' " w:xpath="/ns1:coreProperties[1]/ns0:title[1]" w:storeItemID="{6C3C8BC8-F283-45AE-878A-BAB7291924A1}"/>
                                  <w:text/>
                                </w:sdtPr>
                                <w:sdtEndPr/>
                                <w:sdtContent>
                                  <w:p w14:paraId="5C60571C" w14:textId="47072A9A" w:rsidR="0025301F" w:rsidRPr="00C85305" w:rsidRDefault="0025301F" w:rsidP="005D79B8">
                                    <w:pPr>
                                      <w:pStyle w:val="ReportTitle"/>
                                      <w:rPr>
                                        <w:sz w:val="56"/>
                                        <w:szCs w:val="56"/>
                                      </w:rPr>
                                    </w:pPr>
                                    <w:r w:rsidRPr="00C85305">
                                      <w:rPr>
                                        <w:sz w:val="56"/>
                                        <w:szCs w:val="56"/>
                                      </w:rPr>
                                      <w:t xml:space="preserve">Data disharmony: </w:t>
                                    </w:r>
                                    <w:bookmarkStart w:id="3" w:name="_Hlk95247108"/>
                                    <w:r w:rsidRPr="00C85305">
                                      <w:rPr>
                                        <w:sz w:val="56"/>
                                        <w:szCs w:val="56"/>
                                      </w:rPr>
                                      <w:t>How can donors better act on their commitments?</w:t>
                                    </w:r>
                                  </w:p>
                                </w:sdtContent>
                              </w:sdt>
                              <w:bookmarkEnd w:id="3" w:displacedByCustomXml="prev"/>
                              <w:bookmarkEnd w:id="1" w:displacedByCustomXml="prev"/>
                              <w:bookmarkEnd w:id="2"/>
                              <w:p w14:paraId="092AECA9" w14:textId="7DF989D4" w:rsidR="0025301F" w:rsidRDefault="0025301F" w:rsidP="005D79B8">
                                <w:pPr>
                                  <w:pStyle w:val="Dateofpublication"/>
                                </w:pPr>
                                <w:r>
                                  <w:t xml:space="preserve">Discussion </w:t>
                                </w:r>
                                <w:r w:rsidRPr="00B27F6F">
                                  <w:t>paper</w:t>
                                </w:r>
                              </w:p>
                              <w:p w14:paraId="5E3E5D65" w14:textId="40FE1A61" w:rsidR="0025301F" w:rsidRPr="004C2E55" w:rsidRDefault="0025301F" w:rsidP="005D79B8">
                                <w:pPr>
                                  <w:rPr>
                                    <w:rFonts w:cstheme="minorHAnsi"/>
                                  </w:rPr>
                                </w:pPr>
                                <w:r w:rsidRPr="005D79B8">
                                  <w:rPr>
                                    <w:rFonts w:asciiTheme="minorHAnsi" w:hAnsiTheme="minorHAnsi" w:cstheme="minorHAnsi"/>
                                    <w:color w:val="FFFFFF" w:themeColor="background1"/>
                                    <w:sz w:val="24"/>
                                    <w:szCs w:val="24"/>
                                  </w:rPr>
                                  <w:t>Bill Anderson</w:t>
                                </w:r>
                                <w:r>
                                  <w:rPr>
                                    <w:rFonts w:asciiTheme="minorHAnsi" w:hAnsiTheme="minorHAnsi" w:cstheme="minorHAnsi"/>
                                    <w:color w:val="FFFFFF" w:themeColor="background1"/>
                                    <w:sz w:val="24"/>
                                    <w:szCs w:val="24"/>
                                  </w:rPr>
                                  <w:t xml:space="preserve"> and </w:t>
                                </w:r>
                                <w:r w:rsidRPr="005D79B8">
                                  <w:rPr>
                                    <w:rFonts w:asciiTheme="minorHAnsi" w:hAnsiTheme="minorHAnsi" w:cstheme="minorHAnsi"/>
                                    <w:color w:val="FFFFFF" w:themeColor="background1"/>
                                    <w:sz w:val="24"/>
                                    <w:szCs w:val="24"/>
                                  </w:rPr>
                                  <w:t>Bernard Sabiti</w:t>
                                </w:r>
                              </w:p>
                              <w:p w14:paraId="4EC5D2C1" w14:textId="77777777" w:rsidR="0025301F" w:rsidRDefault="0025301F" w:rsidP="000A1686">
                                <w:pPr>
                                  <w:pStyle w:val="Format"/>
                                </w:pPr>
                              </w:p>
                              <w:p w14:paraId="16331B45" w14:textId="77777777" w:rsidR="0025301F" w:rsidRDefault="0025301F" w:rsidP="000A1686">
                                <w:pPr>
                                  <w:pStyle w:val="Format"/>
                                </w:pPr>
                              </w:p>
                              <w:p w14:paraId="41A9E1C9" w14:textId="77777777" w:rsidR="0025301F" w:rsidRPr="00B27F6F" w:rsidRDefault="0025301F" w:rsidP="000A1686">
                                <w:pPr>
                                  <w:pStyle w:val="Forma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2859D" id="_x0000_t202" coordsize="21600,21600" o:spt="202" path="m,l,21600r21600,l21600,xe">
                    <v:stroke joinstyle="miter"/>
                    <v:path gradientshapeok="t" o:connecttype="rect"/>
                  </v:shapetype>
                  <v:shape id="Text Box 6" o:spid="_x0000_s1026" type="#_x0000_t202" style="position:absolute;margin-left:217.5pt;margin-top:434.25pt;width:345pt;height:215.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" filled="f" stroked="f">
                    <v:textbox>
                      <w:txbxContent>
                        <w:p w14:paraId="557AA031" w14:textId="3983BF40" w:rsidR="0025301F" w:rsidRPr="00B27F6F" w:rsidRDefault="0025301F" w:rsidP="00584375">
                          <w:pPr>
                            <w:pStyle w:val="Dateofpublication"/>
                            <w:rPr>
                              <w:rFonts w:ascii="Arial" w:hAnsi="Arial" w:cs="Arial"/>
                            </w:rPr>
                          </w:pPr>
                          <w:r>
                            <w:rPr>
                              <w:rFonts w:ascii="Arial" w:hAnsi="Arial" w:cs="Arial"/>
                            </w:rPr>
                            <w:t>March 2022</w:t>
                          </w:r>
                        </w:p>
                        <w:bookmarkStart w:id="3" w:name="_Hlk95247093" w:displacedByCustomXml="next"/>
                        <w:bookmarkStart w:id="4" w:name="_Hlk95247076" w:displacedByCustomXml="next"/>
                        <w:sdt>
                          <w:sdtPr>
                            <w:rPr>
                              <w:sz w:val="56"/>
                              <w:szCs w:val="56"/>
                            </w:rPr>
                            <w:alias w:val="Title"/>
                            <w:tag w:val=""/>
                            <w:id w:val="1032615343"/>
                            <w:placeholder>
                              <w:docPart w:val="A215766856454104B0C99EF2C7DFC2E0"/>
                            </w:placeholder>
                            <w:dataBinding w:prefixMappings="xmlns:ns0='http://purl.org/dc/elements/1.1/' xmlns:ns1='http://schemas.openxmlformats.org/package/2006/metadata/core-properties' " w:xpath="/ns1:coreProperties[1]/ns0:title[1]" w:storeItemID="{6C3C8BC8-F283-45AE-878A-BAB7291924A1}"/>
                            <w:text/>
                          </w:sdtPr>
                          <w:sdtContent>
                            <w:p w14:paraId="5C60571C" w14:textId="47072A9A" w:rsidR="0025301F" w:rsidRPr="00C85305" w:rsidRDefault="0025301F" w:rsidP="005D79B8">
                              <w:pPr>
                                <w:pStyle w:val="ReportTitle"/>
                                <w:rPr>
                                  <w:sz w:val="56"/>
                                  <w:szCs w:val="56"/>
                                </w:rPr>
                              </w:pPr>
                              <w:r w:rsidRPr="00C85305">
                                <w:rPr>
                                  <w:sz w:val="56"/>
                                  <w:szCs w:val="56"/>
                                </w:rPr>
                                <w:t xml:space="preserve">Data disharmony: </w:t>
                              </w:r>
                              <w:bookmarkStart w:id="5" w:name="_Hlk95247108"/>
                              <w:r w:rsidRPr="00C85305">
                                <w:rPr>
                                  <w:sz w:val="56"/>
                                  <w:szCs w:val="56"/>
                                </w:rPr>
                                <w:t>How can donors better act on their commitments?</w:t>
                              </w:r>
                            </w:p>
                          </w:sdtContent>
                        </w:sdt>
                        <w:bookmarkEnd w:id="5" w:displacedByCustomXml="prev"/>
                        <w:bookmarkEnd w:id="3" w:displacedByCustomXml="prev"/>
                        <w:bookmarkEnd w:id="4"/>
                        <w:p w14:paraId="092AECA9" w14:textId="7DF989D4" w:rsidR="0025301F" w:rsidRDefault="0025301F" w:rsidP="005D79B8">
                          <w:pPr>
                            <w:pStyle w:val="Dateofpublication"/>
                          </w:pPr>
                          <w:r>
                            <w:t xml:space="preserve">Discussion </w:t>
                          </w:r>
                          <w:r w:rsidRPr="00B27F6F">
                            <w:t>paper</w:t>
                          </w:r>
                        </w:p>
                        <w:p w14:paraId="5E3E5D65" w14:textId="40FE1A61" w:rsidR="0025301F" w:rsidRPr="004C2E55" w:rsidRDefault="0025301F" w:rsidP="005D79B8">
                          <w:pPr>
                            <w:rPr>
                              <w:rFonts w:cstheme="minorHAnsi"/>
                            </w:rPr>
                          </w:pPr>
                          <w:r w:rsidRPr="005D79B8">
                            <w:rPr>
                              <w:rFonts w:asciiTheme="minorHAnsi" w:hAnsiTheme="minorHAnsi" w:cstheme="minorHAnsi"/>
                              <w:color w:val="FFFFFF" w:themeColor="background1"/>
                              <w:sz w:val="24"/>
                              <w:szCs w:val="24"/>
                            </w:rPr>
                            <w:t>Bill Anderson</w:t>
                          </w:r>
                          <w:r>
                            <w:rPr>
                              <w:rFonts w:asciiTheme="minorHAnsi" w:hAnsiTheme="minorHAnsi" w:cstheme="minorHAnsi"/>
                              <w:color w:val="FFFFFF" w:themeColor="background1"/>
                              <w:sz w:val="24"/>
                              <w:szCs w:val="24"/>
                            </w:rPr>
                            <w:t xml:space="preserve"> and </w:t>
                          </w:r>
                          <w:r w:rsidRPr="005D79B8">
                            <w:rPr>
                              <w:rFonts w:asciiTheme="minorHAnsi" w:hAnsiTheme="minorHAnsi" w:cstheme="minorHAnsi"/>
                              <w:color w:val="FFFFFF" w:themeColor="background1"/>
                              <w:sz w:val="24"/>
                              <w:szCs w:val="24"/>
                            </w:rPr>
                            <w:t>Bernard Sabiti</w:t>
                          </w:r>
                        </w:p>
                        <w:p w14:paraId="4EC5D2C1" w14:textId="77777777" w:rsidR="0025301F" w:rsidRDefault="0025301F" w:rsidP="000A1686">
                          <w:pPr>
                            <w:pStyle w:val="Format"/>
                          </w:pPr>
                        </w:p>
                        <w:p w14:paraId="16331B45" w14:textId="77777777" w:rsidR="0025301F" w:rsidRDefault="0025301F" w:rsidP="000A1686">
                          <w:pPr>
                            <w:pStyle w:val="Format"/>
                          </w:pPr>
                        </w:p>
                        <w:p w14:paraId="41A9E1C9" w14:textId="77777777" w:rsidR="0025301F" w:rsidRPr="00B27F6F" w:rsidRDefault="0025301F" w:rsidP="000A1686">
                          <w:pPr>
                            <w:pStyle w:val="Format"/>
                          </w:pPr>
                        </w:p>
                      </w:txbxContent>
                    </v:textbox>
                    <w10:wrap type="square" anchorx="page"/>
                  </v:shape>
                </w:pict>
              </mc:Fallback>
            </mc:AlternateContent>
          </w:r>
          <w:r w:rsidR="00584375">
            <w:br w:type="page"/>
          </w:r>
        </w:p>
      </w:sdtContent>
    </w:sdt>
    <w:sdt>
      <w:sdtPr>
        <w:rPr>
          <w:rFonts w:asciiTheme="minorHAnsi" w:eastAsiaTheme="minorHAnsi" w:hAnsiTheme="minorHAnsi" w:cstheme="minorBidi"/>
          <w:b w:val="0"/>
          <w:bCs w:val="0"/>
          <w:color w:val="453F43"/>
          <w:sz w:val="20"/>
          <w:szCs w:val="24"/>
        </w:rPr>
        <w:id w:val="677700895"/>
        <w:docPartObj>
          <w:docPartGallery w:val="Table of Contents"/>
          <w:docPartUnique/>
        </w:docPartObj>
      </w:sdtPr>
      <w:sdtEndPr>
        <w:rPr>
          <w:rStyle w:val="Hyperlink"/>
          <w:rFonts w:ascii="Arial" w:hAnsi="Arial"/>
          <w:color w:val="008ACC" w:themeColor="accent1"/>
          <w:szCs w:val="22"/>
          <w:u w:val="single"/>
        </w:rPr>
      </w:sdtEndPr>
      <w:sdtContent>
        <w:p w14:paraId="77E1D8BB" w14:textId="77777777" w:rsidR="00584375" w:rsidRPr="00566457" w:rsidRDefault="00584375" w:rsidP="0045351C">
          <w:pPr>
            <w:pStyle w:val="TOCHeading"/>
          </w:pPr>
          <w:r w:rsidRPr="00566457">
            <w:t>Contents</w:t>
          </w:r>
        </w:p>
        <w:p w14:paraId="31EC4B12" w14:textId="2F14DDCF" w:rsidR="002956E3" w:rsidRPr="00BB033F" w:rsidRDefault="00516E20">
          <w:pPr>
            <w:pStyle w:val="TOC1"/>
            <w:rPr>
              <w:rFonts w:asciiTheme="minorHAnsi" w:eastAsiaTheme="minorEastAsia" w:hAnsiTheme="minorHAnsi"/>
              <w:color w:val="453F43" w:themeColor="background2"/>
              <w:sz w:val="22"/>
              <w:szCs w:val="22"/>
              <w:lang w:eastAsia="en-GB"/>
            </w:rPr>
          </w:pPr>
          <w:r w:rsidRPr="00BB033F">
            <w:rPr>
              <w:rStyle w:val="Hyperlink"/>
              <w:rFonts w:eastAsiaTheme="minorEastAsia"/>
              <w:color w:val="453F43" w:themeColor="background2"/>
            </w:rPr>
            <w:fldChar w:fldCharType="begin"/>
          </w:r>
          <w:r w:rsidRPr="00BB033F">
            <w:rPr>
              <w:rStyle w:val="Hyperlink"/>
              <w:rFonts w:eastAsiaTheme="minorEastAsia"/>
              <w:color w:val="453F43" w:themeColor="background2"/>
            </w:rPr>
            <w:instrText xml:space="preserve"> TOC \o "2-3" \h \z \t "Heading 1,1,Heading 1 (with subhead),1,Endnotes heading,1" </w:instrText>
          </w:r>
          <w:r w:rsidRPr="00BB033F">
            <w:rPr>
              <w:rStyle w:val="Hyperlink"/>
              <w:rFonts w:eastAsiaTheme="minorEastAsia"/>
              <w:color w:val="453F43" w:themeColor="background2"/>
            </w:rPr>
            <w:fldChar w:fldCharType="separate"/>
          </w:r>
          <w:hyperlink w:anchor="_Toc94984923" w:history="1">
            <w:r w:rsidR="002956E3" w:rsidRPr="00BB033F">
              <w:rPr>
                <w:rStyle w:val="Hyperlink"/>
                <w:color w:val="453F43" w:themeColor="background2"/>
              </w:rPr>
              <w:t>Introduction</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_Toc94984923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2</w:t>
            </w:r>
            <w:r w:rsidR="002956E3" w:rsidRPr="00BB033F">
              <w:rPr>
                <w:webHidden/>
                <w:color w:val="453F43" w:themeColor="background2"/>
              </w:rPr>
              <w:fldChar w:fldCharType="end"/>
            </w:r>
          </w:hyperlink>
        </w:p>
        <w:p w14:paraId="5108CDA0" w14:textId="321BAB90"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4" w:history="1">
            <w:r w:rsidR="002956E3" w:rsidRPr="00BB033F">
              <w:rPr>
                <w:rStyle w:val="Hyperlink"/>
                <w:color w:val="453F43" w:themeColor="background2"/>
              </w:rPr>
              <w:t>Two decades of commitments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_Toc94984924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3</w:t>
            </w:r>
            <w:r w:rsidR="002956E3" w:rsidRPr="00BB033F">
              <w:rPr>
                <w:webHidden/>
                <w:color w:val="453F43" w:themeColor="background2"/>
              </w:rPr>
              <w:fldChar w:fldCharType="end"/>
            </w:r>
          </w:hyperlink>
        </w:p>
        <w:p w14:paraId="59C55607" w14:textId="2FA61EAC"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5" w:history="1">
            <w:r w:rsidR="002956E3" w:rsidRPr="00BB033F">
              <w:rPr>
                <w:rStyle w:val="Hyperlink"/>
                <w:color w:val="453F43" w:themeColor="background2"/>
              </w:rPr>
              <w:t>Duplicating household surveys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_Toc94984925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5</w:t>
            </w:r>
            <w:r w:rsidR="002956E3" w:rsidRPr="00BB033F">
              <w:rPr>
                <w:webHidden/>
                <w:color w:val="453F43" w:themeColor="background2"/>
              </w:rPr>
              <w:fldChar w:fldCharType="end"/>
            </w:r>
          </w:hyperlink>
        </w:p>
        <w:p w14:paraId="028241C2" w14:textId="40D225D9"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6" w:history="1">
            <w:r w:rsidR="002956E3" w:rsidRPr="00BB033F">
              <w:rPr>
                <w:rStyle w:val="Hyperlink"/>
                <w:color w:val="453F43" w:themeColor="background2"/>
              </w:rPr>
              <w:t>Duplicating administrative systems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_Toc94984926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7</w:t>
            </w:r>
            <w:r w:rsidR="002956E3" w:rsidRPr="00BB033F">
              <w:rPr>
                <w:webHidden/>
                <w:color w:val="453F43" w:themeColor="background2"/>
              </w:rPr>
              <w:fldChar w:fldCharType="end"/>
            </w:r>
          </w:hyperlink>
        </w:p>
        <w:p w14:paraId="5A216294" w14:textId="7A294FEF"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7" w:history="1">
            <w:r w:rsidR="002956E3" w:rsidRPr="00BB033F">
              <w:rPr>
                <w:rStyle w:val="Hyperlink"/>
                <w:color w:val="453F43" w:themeColor="background2"/>
              </w:rPr>
              <w:t>Maintaining parallel data universes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_Toc94984927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9</w:t>
            </w:r>
            <w:r w:rsidR="002956E3" w:rsidRPr="00BB033F">
              <w:rPr>
                <w:webHidden/>
                <w:color w:val="453F43" w:themeColor="background2"/>
              </w:rPr>
              <w:fldChar w:fldCharType="end"/>
            </w:r>
          </w:hyperlink>
        </w:p>
        <w:p w14:paraId="4DCF9CF6" w14:textId="33FBC145"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8" w:history="1">
            <w:r w:rsidR="002956E3" w:rsidRPr="00BB033F">
              <w:rPr>
                <w:rStyle w:val="Hyperlink"/>
                <w:color w:val="453F43" w:themeColor="background2"/>
              </w:rPr>
              <w:t>Funding decisions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_Toc94984928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11</w:t>
            </w:r>
            <w:r w:rsidR="002956E3" w:rsidRPr="00BB033F">
              <w:rPr>
                <w:webHidden/>
                <w:color w:val="453F43" w:themeColor="background2"/>
              </w:rPr>
              <w:fldChar w:fldCharType="end"/>
            </w:r>
          </w:hyperlink>
        </w:p>
        <w:p w14:paraId="30C56801" w14:textId="30B96B26"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29" w:history="1">
            <w:r w:rsidR="002956E3" w:rsidRPr="00BB033F">
              <w:rPr>
                <w:rStyle w:val="Hyperlink"/>
                <w:color w:val="453F43" w:themeColor="background2"/>
              </w:rPr>
              <w:t>Competing interests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_Toc94984929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14</w:t>
            </w:r>
            <w:r w:rsidR="002956E3" w:rsidRPr="00BB033F">
              <w:rPr>
                <w:webHidden/>
                <w:color w:val="453F43" w:themeColor="background2"/>
              </w:rPr>
              <w:fldChar w:fldCharType="end"/>
            </w:r>
          </w:hyperlink>
        </w:p>
        <w:p w14:paraId="2033B1A7" w14:textId="61C3A3FD"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30" w:history="1">
            <w:r w:rsidR="002956E3" w:rsidRPr="00BB033F">
              <w:rPr>
                <w:rStyle w:val="Hyperlink"/>
                <w:color w:val="453F43" w:themeColor="background2"/>
              </w:rPr>
              <w:t>Is harmony possible?</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_Toc94984930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16</w:t>
            </w:r>
            <w:r w:rsidR="002956E3" w:rsidRPr="00BB033F">
              <w:rPr>
                <w:webHidden/>
                <w:color w:val="453F43" w:themeColor="background2"/>
              </w:rPr>
              <w:fldChar w:fldCharType="end"/>
            </w:r>
          </w:hyperlink>
        </w:p>
        <w:p w14:paraId="7A330B7C" w14:textId="6F12E577" w:rsidR="002956E3" w:rsidRPr="00BB033F" w:rsidRDefault="00793CC3">
          <w:pPr>
            <w:pStyle w:val="TOC2"/>
            <w:rPr>
              <w:rFonts w:asciiTheme="minorHAnsi" w:eastAsiaTheme="minorEastAsia" w:hAnsiTheme="minorHAnsi"/>
              <w:noProof/>
              <w:sz w:val="22"/>
              <w:lang w:eastAsia="en-GB"/>
            </w:rPr>
          </w:pPr>
          <w:hyperlink w:anchor="_Toc94984931" w:history="1">
            <w:r w:rsidR="002956E3" w:rsidRPr="00BB033F">
              <w:rPr>
                <w:rStyle w:val="Hyperlink"/>
                <w:noProof/>
                <w:color w:val="453F43" w:themeColor="background2"/>
              </w:rPr>
              <w:t>Country collaborations</w:t>
            </w:r>
            <w:r w:rsidR="002956E3" w:rsidRPr="00BB033F">
              <w:rPr>
                <w:noProof/>
                <w:webHidden/>
              </w:rPr>
              <w:tab/>
            </w:r>
            <w:r w:rsidR="002956E3" w:rsidRPr="00BB033F">
              <w:rPr>
                <w:noProof/>
                <w:webHidden/>
              </w:rPr>
              <w:fldChar w:fldCharType="begin"/>
            </w:r>
            <w:r w:rsidR="002956E3" w:rsidRPr="00BB033F">
              <w:rPr>
                <w:noProof/>
                <w:webHidden/>
              </w:rPr>
              <w:instrText xml:space="preserve"> PAGEREF _Toc94984931 \h </w:instrText>
            </w:r>
            <w:r w:rsidR="002956E3" w:rsidRPr="00BB033F">
              <w:rPr>
                <w:noProof/>
                <w:webHidden/>
              </w:rPr>
            </w:r>
            <w:r w:rsidR="002956E3" w:rsidRPr="00BB033F">
              <w:rPr>
                <w:noProof/>
                <w:webHidden/>
              </w:rPr>
              <w:fldChar w:fldCharType="separate"/>
            </w:r>
            <w:r w:rsidR="00067EC1">
              <w:rPr>
                <w:noProof/>
                <w:webHidden/>
              </w:rPr>
              <w:t>16</w:t>
            </w:r>
            <w:r w:rsidR="002956E3" w:rsidRPr="00BB033F">
              <w:rPr>
                <w:noProof/>
                <w:webHidden/>
              </w:rPr>
              <w:fldChar w:fldCharType="end"/>
            </w:r>
          </w:hyperlink>
        </w:p>
        <w:p w14:paraId="134CA09E" w14:textId="0E5AC6F2" w:rsidR="002956E3" w:rsidRPr="00BB033F" w:rsidRDefault="00793CC3">
          <w:pPr>
            <w:pStyle w:val="TOC2"/>
            <w:rPr>
              <w:rFonts w:asciiTheme="minorHAnsi" w:eastAsiaTheme="minorEastAsia" w:hAnsiTheme="minorHAnsi"/>
              <w:noProof/>
              <w:sz w:val="22"/>
              <w:lang w:eastAsia="en-GB"/>
            </w:rPr>
          </w:pPr>
          <w:hyperlink w:anchor="_Toc94984932" w:history="1">
            <w:r w:rsidR="002956E3" w:rsidRPr="00BB033F">
              <w:rPr>
                <w:rStyle w:val="Hyperlink"/>
                <w:noProof/>
                <w:color w:val="453F43" w:themeColor="background2"/>
              </w:rPr>
              <w:t>Levelling the financial playing field</w:t>
            </w:r>
            <w:r w:rsidR="002956E3" w:rsidRPr="00BB033F">
              <w:rPr>
                <w:noProof/>
                <w:webHidden/>
              </w:rPr>
              <w:tab/>
            </w:r>
            <w:r w:rsidR="002956E3" w:rsidRPr="00BB033F">
              <w:rPr>
                <w:noProof/>
                <w:webHidden/>
              </w:rPr>
              <w:fldChar w:fldCharType="begin"/>
            </w:r>
            <w:r w:rsidR="002956E3" w:rsidRPr="00BB033F">
              <w:rPr>
                <w:noProof/>
                <w:webHidden/>
              </w:rPr>
              <w:instrText xml:space="preserve"> PAGEREF _Toc94984932 \h </w:instrText>
            </w:r>
            <w:r w:rsidR="002956E3" w:rsidRPr="00BB033F">
              <w:rPr>
                <w:noProof/>
                <w:webHidden/>
              </w:rPr>
            </w:r>
            <w:r w:rsidR="002956E3" w:rsidRPr="00BB033F">
              <w:rPr>
                <w:noProof/>
                <w:webHidden/>
              </w:rPr>
              <w:fldChar w:fldCharType="separate"/>
            </w:r>
            <w:r w:rsidR="00067EC1">
              <w:rPr>
                <w:noProof/>
                <w:webHidden/>
              </w:rPr>
              <w:t>16</w:t>
            </w:r>
            <w:r w:rsidR="002956E3" w:rsidRPr="00BB033F">
              <w:rPr>
                <w:noProof/>
                <w:webHidden/>
              </w:rPr>
              <w:fldChar w:fldCharType="end"/>
            </w:r>
          </w:hyperlink>
        </w:p>
        <w:p w14:paraId="7DBA7794" w14:textId="7D3C423A" w:rsidR="002956E3" w:rsidRPr="00BB033F" w:rsidRDefault="00793CC3">
          <w:pPr>
            <w:pStyle w:val="TOC2"/>
            <w:rPr>
              <w:rFonts w:asciiTheme="minorHAnsi" w:eastAsiaTheme="minorEastAsia" w:hAnsiTheme="minorHAnsi"/>
              <w:noProof/>
              <w:sz w:val="22"/>
              <w:lang w:eastAsia="en-GB"/>
            </w:rPr>
          </w:pPr>
          <w:hyperlink w:anchor="_Toc94984933" w:history="1">
            <w:r w:rsidR="002956E3" w:rsidRPr="00BB033F">
              <w:rPr>
                <w:rStyle w:val="Hyperlink"/>
                <w:noProof/>
                <w:color w:val="453F43" w:themeColor="background2"/>
              </w:rPr>
              <w:t>Mapping the data landscape transparently</w:t>
            </w:r>
            <w:r w:rsidR="002956E3" w:rsidRPr="00BB033F">
              <w:rPr>
                <w:noProof/>
                <w:webHidden/>
              </w:rPr>
              <w:tab/>
            </w:r>
            <w:r w:rsidR="002956E3" w:rsidRPr="00BB033F">
              <w:rPr>
                <w:noProof/>
                <w:webHidden/>
              </w:rPr>
              <w:fldChar w:fldCharType="begin"/>
            </w:r>
            <w:r w:rsidR="002956E3" w:rsidRPr="00BB033F">
              <w:rPr>
                <w:noProof/>
                <w:webHidden/>
              </w:rPr>
              <w:instrText xml:space="preserve"> PAGEREF _Toc94984933 \h </w:instrText>
            </w:r>
            <w:r w:rsidR="002956E3" w:rsidRPr="00BB033F">
              <w:rPr>
                <w:noProof/>
                <w:webHidden/>
              </w:rPr>
            </w:r>
            <w:r w:rsidR="002956E3" w:rsidRPr="00BB033F">
              <w:rPr>
                <w:noProof/>
                <w:webHidden/>
              </w:rPr>
              <w:fldChar w:fldCharType="separate"/>
            </w:r>
            <w:r w:rsidR="00067EC1">
              <w:rPr>
                <w:noProof/>
                <w:webHidden/>
              </w:rPr>
              <w:t>17</w:t>
            </w:r>
            <w:r w:rsidR="002956E3" w:rsidRPr="00BB033F">
              <w:rPr>
                <w:noProof/>
                <w:webHidden/>
              </w:rPr>
              <w:fldChar w:fldCharType="end"/>
            </w:r>
          </w:hyperlink>
        </w:p>
        <w:p w14:paraId="758A7315" w14:textId="1B25FCBF"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34" w:history="1">
            <w:r w:rsidR="002956E3" w:rsidRPr="00BB033F">
              <w:rPr>
                <w:rStyle w:val="Hyperlink"/>
                <w:color w:val="453F43" w:themeColor="background2"/>
              </w:rPr>
              <w:t>Appendices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_Toc94984934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20</w:t>
            </w:r>
            <w:r w:rsidR="002956E3" w:rsidRPr="00BB033F">
              <w:rPr>
                <w:webHidden/>
                <w:color w:val="453F43" w:themeColor="background2"/>
              </w:rPr>
              <w:fldChar w:fldCharType="end"/>
            </w:r>
          </w:hyperlink>
        </w:p>
        <w:p w14:paraId="5B6DD275" w14:textId="5CD24D3F" w:rsidR="002956E3" w:rsidRPr="00BB033F" w:rsidRDefault="00793CC3">
          <w:pPr>
            <w:pStyle w:val="TOC1"/>
            <w:rPr>
              <w:rFonts w:asciiTheme="minorHAnsi" w:eastAsiaTheme="minorEastAsia" w:hAnsiTheme="minorHAnsi"/>
              <w:color w:val="453F43" w:themeColor="background2"/>
              <w:sz w:val="22"/>
              <w:szCs w:val="22"/>
              <w:lang w:eastAsia="en-GB"/>
            </w:rPr>
          </w:pPr>
          <w:hyperlink w:anchor="_Toc94984935" w:history="1">
            <w:r w:rsidR="002956E3" w:rsidRPr="00BB033F">
              <w:rPr>
                <w:rStyle w:val="Hyperlink"/>
                <w:color w:val="453F43" w:themeColor="background2"/>
              </w:rPr>
              <w:t>Notes</w:t>
            </w:r>
            <w:r w:rsidR="002956E3" w:rsidRPr="00BB033F">
              <w:rPr>
                <w:webHidden/>
                <w:color w:val="453F43" w:themeColor="background2"/>
              </w:rPr>
              <w:tab/>
            </w:r>
            <w:r w:rsidR="002956E3" w:rsidRPr="00BB033F">
              <w:rPr>
                <w:webHidden/>
                <w:color w:val="453F43" w:themeColor="background2"/>
              </w:rPr>
              <w:fldChar w:fldCharType="begin"/>
            </w:r>
            <w:r w:rsidR="002956E3" w:rsidRPr="00BB033F">
              <w:rPr>
                <w:webHidden/>
                <w:color w:val="453F43" w:themeColor="background2"/>
              </w:rPr>
              <w:instrText xml:space="preserve"> PAGEREF _Toc94984935 \h </w:instrText>
            </w:r>
            <w:r w:rsidR="002956E3" w:rsidRPr="00BB033F">
              <w:rPr>
                <w:webHidden/>
                <w:color w:val="453F43" w:themeColor="background2"/>
              </w:rPr>
            </w:r>
            <w:r w:rsidR="002956E3" w:rsidRPr="00BB033F">
              <w:rPr>
                <w:webHidden/>
                <w:color w:val="453F43" w:themeColor="background2"/>
              </w:rPr>
              <w:fldChar w:fldCharType="separate"/>
            </w:r>
            <w:r w:rsidR="00067EC1">
              <w:rPr>
                <w:webHidden/>
                <w:color w:val="453F43" w:themeColor="background2"/>
              </w:rPr>
              <w:t>27</w:t>
            </w:r>
            <w:r w:rsidR="002956E3" w:rsidRPr="00BB033F">
              <w:rPr>
                <w:webHidden/>
                <w:color w:val="453F43" w:themeColor="background2"/>
              </w:rPr>
              <w:fldChar w:fldCharType="end"/>
            </w:r>
          </w:hyperlink>
        </w:p>
        <w:p w14:paraId="78140140" w14:textId="1F2FA6A7" w:rsidR="00584375" w:rsidRPr="00666DF5" w:rsidRDefault="00516E20" w:rsidP="00584375">
          <w:pPr>
            <w:spacing w:line="293" w:lineRule="auto"/>
            <w:rPr>
              <w:rStyle w:val="Hyperlink"/>
            </w:rPr>
          </w:pPr>
          <w:r w:rsidRPr="00BB033F">
            <w:rPr>
              <w:rStyle w:val="Hyperlink"/>
              <w:rFonts w:eastAsiaTheme="minorEastAsia"/>
              <w:noProof/>
              <w:color w:val="453F43" w:themeColor="background2"/>
              <w:szCs w:val="20"/>
            </w:rPr>
            <w:fldChar w:fldCharType="end"/>
          </w:r>
        </w:p>
      </w:sdtContent>
    </w:sdt>
    <w:p w14:paraId="3280FB46" w14:textId="77777777" w:rsidR="00584375" w:rsidRPr="00666DF5" w:rsidRDefault="00584375" w:rsidP="00584375">
      <w:pPr>
        <w:rPr>
          <w:rStyle w:val="Hyperlink"/>
        </w:rPr>
      </w:pPr>
      <w:r>
        <w:br w:type="page"/>
      </w:r>
    </w:p>
    <w:p w14:paraId="68ECE684" w14:textId="77777777" w:rsidR="00BA228D" w:rsidRPr="00616BE9" w:rsidRDefault="00BA228D" w:rsidP="0045351C">
      <w:pPr>
        <w:pStyle w:val="Heading1"/>
      </w:pPr>
      <w:bookmarkStart w:id="4" w:name="_Toc94984923"/>
      <w:bookmarkStart w:id="5" w:name="_Toc472071997"/>
      <w:bookmarkStart w:id="6" w:name="_Toc480902836"/>
      <w:r w:rsidRPr="007D7B4E">
        <w:lastRenderedPageBreak/>
        <w:t>Introduction</w:t>
      </w:r>
      <w:bookmarkEnd w:id="4"/>
    </w:p>
    <w:p w14:paraId="63543C88" w14:textId="0019CE02" w:rsidR="00BA228D" w:rsidRDefault="007F60AF" w:rsidP="00184891">
      <w:r>
        <w:t xml:space="preserve">This is the second in a series of discussion papers we are publishing to highlight key challenges emerging from our </w:t>
      </w:r>
      <w:r w:rsidR="006C3179">
        <w:t xml:space="preserve">work analysing </w:t>
      </w:r>
      <w:r>
        <w:t>national data ecosystems</w:t>
      </w:r>
      <w:r w:rsidR="006C3179">
        <w:t xml:space="preserve">, </w:t>
      </w:r>
      <w:r w:rsidR="00190924">
        <w:t>with the aim of</w:t>
      </w:r>
      <w:r w:rsidR="006C3179">
        <w:t xml:space="preserve"> promot</w:t>
      </w:r>
      <w:r w:rsidR="00190924">
        <w:t>ing</w:t>
      </w:r>
      <w:r w:rsidR="006C3179">
        <w:t xml:space="preserve"> discussion between relevant stakeholders on how best to overcome these. </w:t>
      </w:r>
      <w:r w:rsidR="00BA228D">
        <w:t xml:space="preserve">In our </w:t>
      </w:r>
      <w:r>
        <w:t xml:space="preserve">first </w:t>
      </w:r>
      <w:r w:rsidR="00BA228D">
        <w:t xml:space="preserve">paper </w:t>
      </w:r>
      <w:r w:rsidR="00BA228D" w:rsidRPr="00616BE9">
        <w:rPr>
          <w:i/>
          <w:iCs/>
        </w:rPr>
        <w:t>The data side of leaving no one behind</w:t>
      </w:r>
      <w:r w:rsidR="00541D83">
        <w:rPr>
          <w:rStyle w:val="EndnoteReference"/>
        </w:rPr>
        <w:endnoteReference w:id="2"/>
      </w:r>
      <w:r w:rsidR="00BA228D">
        <w:t xml:space="preserve"> we looked at the challenges facing data ecosystems in low</w:t>
      </w:r>
      <w:r w:rsidR="00D776A0">
        <w:t>-</w:t>
      </w:r>
      <w:r w:rsidR="00BA228D">
        <w:t xml:space="preserve"> and middle</w:t>
      </w:r>
      <w:r w:rsidR="00D776A0">
        <w:t>-</w:t>
      </w:r>
      <w:r w:rsidR="00BA228D">
        <w:t xml:space="preserve">income countries. We concluded that </w:t>
      </w:r>
      <w:r w:rsidR="00BA228D" w:rsidRPr="00616BE9">
        <w:t>“</w:t>
      </w:r>
      <w:r w:rsidR="00F37332" w:rsidRPr="00616BE9">
        <w:t>…</w:t>
      </w:r>
      <w:r w:rsidR="00BA228D" w:rsidRPr="00616BE9">
        <w:t>governments need to own their own problems and solutions. They need to own their own data on behalf of their citizens. And for this to be sustainable they need to finance it.”</w:t>
      </w:r>
      <w:r w:rsidR="00541D83" w:rsidRPr="00616BE9">
        <w:rPr>
          <w:rStyle w:val="EndnoteReference"/>
        </w:rPr>
        <w:endnoteReference w:id="3"/>
      </w:r>
    </w:p>
    <w:p w14:paraId="31A308D2" w14:textId="71485A95" w:rsidR="00BA228D" w:rsidRDefault="00BA228D" w:rsidP="00184891">
      <w:r>
        <w:t>This is currently not the case in most countries. Financing available for investment in data infrastructures and statistical production remains insufficient. It has been estimated that in 2015 low</w:t>
      </w:r>
      <w:r w:rsidR="00DD53F6">
        <w:t>-</w:t>
      </w:r>
      <w:r>
        <w:t xml:space="preserve"> and middle</w:t>
      </w:r>
      <w:r w:rsidR="00DD53F6">
        <w:t>-</w:t>
      </w:r>
      <w:r>
        <w:t>income countries had a gross annual requirement of about US</w:t>
      </w:r>
      <w:r w:rsidR="00DD53F6">
        <w:t>$</w:t>
      </w:r>
      <w:r>
        <w:t>3</w:t>
      </w:r>
      <w:r w:rsidR="00DD53F6">
        <w:t> </w:t>
      </w:r>
      <w:r>
        <w:t>billion to meet their data and statistical needs</w:t>
      </w:r>
      <w:r w:rsidR="00DD53F6">
        <w:t>,</w:t>
      </w:r>
      <w:r>
        <w:t xml:space="preserve"> of which only one half was being met by domestic resources.</w:t>
      </w:r>
      <w:r w:rsidR="00541D83">
        <w:rPr>
          <w:rStyle w:val="EndnoteReference"/>
        </w:rPr>
        <w:endnoteReference w:id="4"/>
      </w:r>
      <w:r>
        <w:t xml:space="preserve"> In 2018 donors contributed US</w:t>
      </w:r>
      <w:r w:rsidR="004E1D2D">
        <w:t>$</w:t>
      </w:r>
      <w:r>
        <w:t>693 million</w:t>
      </w:r>
      <w:r w:rsidR="00545A30">
        <w:t>,</w:t>
      </w:r>
      <w:r w:rsidR="00541D83">
        <w:rPr>
          <w:rStyle w:val="EndnoteReference"/>
        </w:rPr>
        <w:endnoteReference w:id="5"/>
      </w:r>
      <w:r>
        <w:t xml:space="preserve"> leaving a funding gap of a similar amount. Donors thus continue to play an important and disproportionate role in the financing of this ecosystem. Their decisions on how they both select and deliver their investments have significant impact on the political economy of data.</w:t>
      </w:r>
    </w:p>
    <w:p w14:paraId="7FC8098D" w14:textId="05B861D4" w:rsidR="006C3179" w:rsidRDefault="006C3179" w:rsidP="00184891">
      <w:r>
        <w:t>This paper examines the role of donors</w:t>
      </w:r>
      <w:r w:rsidR="006A626F">
        <w:t xml:space="preserve"> investment in</w:t>
      </w:r>
      <w:r>
        <w:t xml:space="preserve"> national data ecosystems, focus</w:t>
      </w:r>
      <w:bookmarkStart w:id="7" w:name="_GoBack"/>
      <w:bookmarkEnd w:id="7"/>
      <w:r>
        <w:t>ing in particular on the challenges of harmonisation. As with our first paper, t</w:t>
      </w:r>
      <w:r w:rsidR="009C7BD6">
        <w:t xml:space="preserve">he issues we describe here are not new – they are well-known and have been recognised by donors </w:t>
      </w:r>
      <w:r w:rsidR="00B54AEF">
        <w:t xml:space="preserve">themselves </w:t>
      </w:r>
      <w:r w:rsidR="009C7BD6">
        <w:t xml:space="preserve">over many years. </w:t>
      </w:r>
      <w:r w:rsidR="00B54AEF">
        <w:t>Rather than simply re-stating the problem, t</w:t>
      </w:r>
      <w:r w:rsidR="009C7BD6">
        <w:t xml:space="preserve">he purpose of this paper to promote an open discussion about why – given longstanding commitments to address these issues – progress has been limited, and what both </w:t>
      </w:r>
      <w:r w:rsidR="00B54AEF">
        <w:t xml:space="preserve">donors </w:t>
      </w:r>
      <w:r w:rsidR="009C7BD6">
        <w:t xml:space="preserve">and national governments can do to </w:t>
      </w:r>
      <w:r w:rsidR="00B54AEF">
        <w:t xml:space="preserve">overcome the challenges of harmonisation in order to maximise the impact of their investments in national data systems. </w:t>
      </w:r>
    </w:p>
    <w:p w14:paraId="56962AD7" w14:textId="7631BEB0" w:rsidR="00BA228D" w:rsidRDefault="00BA228D" w:rsidP="00184891">
      <w:r>
        <w:t xml:space="preserve">Recently our business development team at </w:t>
      </w:r>
      <w:r w:rsidR="00FD77A3">
        <w:t xml:space="preserve">Development Initiatives </w:t>
      </w:r>
      <w:r>
        <w:t>presented us, in the same week, with two contract opportunities. The first was to “conduct a mapping of the Kenya Innovation Ecosystem.”</w:t>
      </w:r>
      <w:r w:rsidR="00541D83">
        <w:rPr>
          <w:rStyle w:val="EndnoteReference"/>
        </w:rPr>
        <w:endnoteReference w:id="6"/>
      </w:r>
      <w:r>
        <w:t xml:space="preserve"> The second was to provide “a synthesis of existing evidence on the evolution of the Kenyan start-up ecosystem.”</w:t>
      </w:r>
      <w:r w:rsidR="00541D83">
        <w:rPr>
          <w:rStyle w:val="EndnoteReference"/>
        </w:rPr>
        <w:endnoteReference w:id="7"/>
      </w:r>
      <w:r>
        <w:t xml:space="preserve"> This wasn’t an unusual coincidence</w:t>
      </w:r>
      <w:r w:rsidR="00053053">
        <w:t>;</w:t>
      </w:r>
      <w:r>
        <w:t xml:space="preserve"> </w:t>
      </w:r>
      <w:r w:rsidR="00053053">
        <w:t>i</w:t>
      </w:r>
      <w:r>
        <w:t>t happens all the time. Which begs the question: are national governments and donors making the best use of limited resources?</w:t>
      </w:r>
    </w:p>
    <w:p w14:paraId="59F6700B" w14:textId="269993B0" w:rsidR="00541D83" w:rsidRDefault="00BA228D" w:rsidP="00184891">
      <w:r>
        <w:t>In this paper we focus on data investments, but this is only a small part of a bigger story.</w:t>
      </w:r>
    </w:p>
    <w:p w14:paraId="6CC38C9E" w14:textId="77777777" w:rsidR="00541D83" w:rsidRDefault="00541D83">
      <w:pPr>
        <w:spacing w:before="0" w:line="240" w:lineRule="auto"/>
      </w:pPr>
      <w:r>
        <w:br w:type="page"/>
      </w:r>
    </w:p>
    <w:p w14:paraId="547B898F" w14:textId="77777777" w:rsidR="00541D83" w:rsidRPr="00616BE9" w:rsidRDefault="00541D83" w:rsidP="0045351C">
      <w:pPr>
        <w:pStyle w:val="Heading1"/>
      </w:pPr>
      <w:bookmarkStart w:id="8" w:name="_Toc94984924"/>
      <w:r w:rsidRPr="00566457">
        <w:lastRenderedPageBreak/>
        <w:t>Two decades of commitments</w:t>
      </w:r>
      <w:bookmarkEnd w:id="8"/>
    </w:p>
    <w:p w14:paraId="225928AA" w14:textId="1595C834" w:rsidR="00541D83" w:rsidRDefault="00541D83" w:rsidP="00541D83">
      <w:r>
        <w:t>In March 2002 over 50 heads of state gathered in Mexico to discuss key issues relating to global development.</w:t>
      </w:r>
      <w:r w:rsidR="007B1877">
        <w:rPr>
          <w:rStyle w:val="EndnoteReference"/>
        </w:rPr>
        <w:endnoteReference w:id="8"/>
      </w:r>
      <w:r>
        <w:t xml:space="preserve"> They agreed on the </w:t>
      </w:r>
      <w:r w:rsidRPr="00822B22">
        <w:t>Monterrey</w:t>
      </w:r>
      <w:r w:rsidRPr="005D79B8">
        <w:t xml:space="preserve"> Consensus</w:t>
      </w:r>
      <w:r>
        <w:t>: a commitment to rationalise a range of activities covering international finance and trade. One of the commitments was to make aid (</w:t>
      </w:r>
      <w:r w:rsidR="003D19AC">
        <w:t xml:space="preserve">also known as official development assistance; </w:t>
      </w:r>
      <w:r>
        <w:t>ODA) more effective through intensifying efforts to:</w:t>
      </w:r>
    </w:p>
    <w:p w14:paraId="5179C2F2" w14:textId="0552DFFB" w:rsidR="00541D83" w:rsidRDefault="007E2780" w:rsidP="006A16BE">
      <w:pPr>
        <w:pStyle w:val="Quotetext"/>
      </w:pPr>
      <w:r>
        <w:t>“</w:t>
      </w:r>
      <w:r w:rsidR="00541D83">
        <w:t>Harmonize their operational procedures at the highest standard so as to reduce transaction costs and make ODA disbursement and delivery more flexible, taking into account national development needs and objectives under the ownership of the recipient country</w:t>
      </w:r>
      <w:r>
        <w:t>.”</w:t>
      </w:r>
      <w:r w:rsidR="007B1877">
        <w:rPr>
          <w:rStyle w:val="EndnoteReference"/>
        </w:rPr>
        <w:endnoteReference w:id="9"/>
      </w:r>
    </w:p>
    <w:p w14:paraId="473898CD" w14:textId="2830E012" w:rsidR="00541D83" w:rsidRDefault="00541D83" w:rsidP="00541D83">
      <w:r>
        <w:t>The Development Assistance Committee (DAC) of the OECD set up a task force to address these issues</w:t>
      </w:r>
      <w:r w:rsidR="00362734">
        <w:t>,</w:t>
      </w:r>
      <w:r>
        <w:t xml:space="preserve"> which undertook a </w:t>
      </w:r>
      <w:r w:rsidR="00362734" w:rsidRPr="005D79B8">
        <w:t>n</w:t>
      </w:r>
      <w:r w:rsidRPr="005D79B8">
        <w:t xml:space="preserve">eeds </w:t>
      </w:r>
      <w:r w:rsidR="00362734" w:rsidRPr="005D79B8">
        <w:t>a</w:t>
      </w:r>
      <w:r w:rsidRPr="005D79B8">
        <w:t xml:space="preserve">ssessment </w:t>
      </w:r>
      <w:r w:rsidR="00362734" w:rsidRPr="005D79B8">
        <w:t>s</w:t>
      </w:r>
      <w:r w:rsidRPr="005D79B8">
        <w:t>urvey</w:t>
      </w:r>
      <w:r>
        <w:t xml:space="preserve"> in </w:t>
      </w:r>
      <w:r w:rsidR="00362734">
        <w:t xml:space="preserve">11 </w:t>
      </w:r>
      <w:r>
        <w:t xml:space="preserve">developing countries. Each </w:t>
      </w:r>
      <w:r w:rsidR="00362734">
        <w:t xml:space="preserve">survey </w:t>
      </w:r>
      <w:r>
        <w:t>respondent was asked to name the three most important obstacles to effective aid delivery. The most common responses were:</w:t>
      </w:r>
    </w:p>
    <w:p w14:paraId="614AD6F9" w14:textId="33D8B86C" w:rsidR="00541D83" w:rsidRDefault="00541D83" w:rsidP="00966848">
      <w:pPr>
        <w:pStyle w:val="ListParagraph"/>
      </w:pPr>
      <w:r w:rsidRPr="00CD3743">
        <w:rPr>
          <w:b/>
          <w:bCs/>
          <w:color w:val="0072B2" w:themeColor="accent4"/>
        </w:rPr>
        <w:t>Donor</w:t>
      </w:r>
      <w:r w:rsidR="007E2780" w:rsidRPr="00CD3743">
        <w:rPr>
          <w:b/>
          <w:bCs/>
          <w:color w:val="0072B2" w:themeColor="accent4"/>
        </w:rPr>
        <w:t>-</w:t>
      </w:r>
      <w:r w:rsidRPr="00CD3743">
        <w:rPr>
          <w:b/>
          <w:bCs/>
          <w:color w:val="0072B2" w:themeColor="accent4"/>
        </w:rPr>
        <w:t>driven priorities and systems</w:t>
      </w:r>
      <w:r>
        <w:t xml:space="preserve">: </w:t>
      </w:r>
      <w:r w:rsidR="00516E20">
        <w:t>T</w:t>
      </w:r>
      <w:r>
        <w:t>he pressure donors bring to bear on partners’ development policies and strategies. </w:t>
      </w:r>
    </w:p>
    <w:p w14:paraId="0F25FAE2" w14:textId="3B132B8F" w:rsidR="00541D83" w:rsidRDefault="00541D83" w:rsidP="00966848">
      <w:pPr>
        <w:pStyle w:val="ListParagraph"/>
      </w:pPr>
      <w:r w:rsidRPr="00CD3743">
        <w:rPr>
          <w:b/>
          <w:bCs/>
          <w:color w:val="0072B2" w:themeColor="accent4"/>
        </w:rPr>
        <w:t>Difficulties with donor procedures</w:t>
      </w:r>
      <w:r>
        <w:t xml:space="preserve">: </w:t>
      </w:r>
      <w:r w:rsidR="00516E20">
        <w:t>Ov</w:t>
      </w:r>
      <w:r>
        <w:t>ercomplicated donor procurement</w:t>
      </w:r>
      <w:r w:rsidR="007165F3">
        <w:t>.</w:t>
      </w:r>
    </w:p>
    <w:p w14:paraId="3F165D35" w14:textId="7442996E" w:rsidR="00541D83" w:rsidRDefault="00541D83" w:rsidP="00966848">
      <w:pPr>
        <w:pStyle w:val="ListParagraph"/>
      </w:pPr>
      <w:r w:rsidRPr="00CD3743">
        <w:rPr>
          <w:b/>
          <w:bCs/>
          <w:color w:val="0072B2" w:themeColor="accent4"/>
        </w:rPr>
        <w:t>Uncoordinated donor practices</w:t>
      </w:r>
      <w:r>
        <w:t xml:space="preserve">: </w:t>
      </w:r>
      <w:r w:rsidR="00516E20">
        <w:t>C</w:t>
      </w:r>
      <w:r>
        <w:t>ompeting donor systems making duplicative demands on partners’ administrations.</w:t>
      </w:r>
      <w:r w:rsidR="007B1877">
        <w:rPr>
          <w:rStyle w:val="EndnoteReference"/>
        </w:rPr>
        <w:endnoteReference w:id="10"/>
      </w:r>
    </w:p>
    <w:p w14:paraId="5802A16E" w14:textId="454E5979" w:rsidR="00541D83" w:rsidRDefault="00541D83" w:rsidP="007B1877">
      <w:pPr>
        <w:rPr>
          <w:rFonts w:ascii="Times New Roman" w:hAnsi="Times New Roman" w:cs="Times New Roman"/>
          <w:color w:val="auto"/>
          <w:sz w:val="24"/>
          <w:szCs w:val="24"/>
        </w:rPr>
      </w:pPr>
      <w:r>
        <w:t xml:space="preserve">In February 2003 more than 40 bilateral and multilateral institutions met in Italy for the </w:t>
      </w:r>
      <w:r w:rsidRPr="005D79B8">
        <w:t>First High Level Forum on Aid Effectiveness</w:t>
      </w:r>
      <w:r w:rsidR="007B1877">
        <w:rPr>
          <w:rStyle w:val="EndnoteReference"/>
          <w:b/>
          <w:bCs/>
        </w:rPr>
        <w:endnoteReference w:id="11"/>
      </w:r>
      <w:r>
        <w:t xml:space="preserve"> and endorsed the </w:t>
      </w:r>
      <w:r w:rsidRPr="005D79B8">
        <w:t>Rome Declaration on Harmonisation</w:t>
      </w:r>
      <w:r>
        <w:t xml:space="preserve">. In it they recognised that many of their efforts </w:t>
      </w:r>
      <w:r w:rsidRPr="007165F3">
        <w:t>were “</w:t>
      </w:r>
      <w:r w:rsidRPr="00616BE9">
        <w:t>generating unproductive transaction costs</w:t>
      </w:r>
      <w:r w:rsidRPr="007165F3">
        <w:t>”</w:t>
      </w:r>
      <w:r w:rsidR="00CD3743">
        <w:t>,</w:t>
      </w:r>
      <w:r w:rsidRPr="007165F3">
        <w:t xml:space="preserve"> that their practices did not always “</w:t>
      </w:r>
      <w:r w:rsidRPr="00616BE9">
        <w:t>fit well with national development priorities</w:t>
      </w:r>
      <w:r w:rsidRPr="007165F3">
        <w:t xml:space="preserve">” and </w:t>
      </w:r>
      <w:r>
        <w:t>they therefore committed to a range of practices to enhance harmonisation. These included</w:t>
      </w:r>
      <w:r w:rsidR="007165F3">
        <w:t>:</w:t>
      </w:r>
    </w:p>
    <w:p w14:paraId="77F7D75E" w14:textId="77777777" w:rsidR="00541D83" w:rsidRDefault="00541D83" w:rsidP="00966848">
      <w:pPr>
        <w:pStyle w:val="ListParagraph"/>
      </w:pPr>
      <w:r>
        <w:t>Ensuring that development assistance is delivered in accordance with partner country priorities</w:t>
      </w:r>
    </w:p>
    <w:p w14:paraId="68785459" w14:textId="1735342F" w:rsidR="007B1877" w:rsidRDefault="00541D83" w:rsidP="00966848">
      <w:pPr>
        <w:pStyle w:val="ListParagraph"/>
      </w:pPr>
      <w:r>
        <w:t>Reviewing and identifying ways to amend, as appropriate, our individual institutions’ and countries’ policies, procedures and practices to facilitate harmonisation</w:t>
      </w:r>
    </w:p>
    <w:p w14:paraId="6F35B225" w14:textId="61E460AF" w:rsidR="007B1877" w:rsidRDefault="00541D83" w:rsidP="00966848">
      <w:pPr>
        <w:pStyle w:val="ListParagraph"/>
      </w:pPr>
      <w:r>
        <w:t>Intensifying donor efforts to work through delegated cooperation at the country level</w:t>
      </w:r>
      <w:r w:rsidR="006F714C">
        <w:t>.</w:t>
      </w:r>
      <w:r w:rsidR="007B1877">
        <w:rPr>
          <w:rStyle w:val="EndnoteReference"/>
        </w:rPr>
        <w:endnoteReference w:id="12"/>
      </w:r>
      <w:r w:rsidR="007B1877">
        <w:t xml:space="preserve"> </w:t>
      </w:r>
    </w:p>
    <w:p w14:paraId="4AE68755" w14:textId="45D822CC" w:rsidR="007B1877" w:rsidRPr="007B1877" w:rsidRDefault="007B1877" w:rsidP="00BA78DF">
      <w:r w:rsidRPr="007B1877">
        <w:lastRenderedPageBreak/>
        <w:t xml:space="preserve">The 2005 </w:t>
      </w:r>
      <w:r w:rsidRPr="005D79B8">
        <w:t>Paris Declaration on Aid Effectiveness</w:t>
      </w:r>
      <w:r w:rsidRPr="007B1877">
        <w:rPr>
          <w:b/>
          <w:bCs/>
        </w:rPr>
        <w:t xml:space="preserve"> </w:t>
      </w:r>
      <w:r w:rsidRPr="007B1877">
        <w:t xml:space="preserve">built upon </w:t>
      </w:r>
      <w:r w:rsidR="007432A2">
        <w:t xml:space="preserve">the </w:t>
      </w:r>
      <w:r w:rsidRPr="007B1877">
        <w:t xml:space="preserve">Rome </w:t>
      </w:r>
      <w:r w:rsidR="007432A2" w:rsidRPr="00616BE9">
        <w:t>Declaration on Harmonisation</w:t>
      </w:r>
      <w:r w:rsidR="007432A2" w:rsidRPr="007432A2">
        <w:t xml:space="preserve"> </w:t>
      </w:r>
      <w:r w:rsidRPr="007432A2">
        <w:t>with</w:t>
      </w:r>
      <w:r w:rsidRPr="007B1877">
        <w:t xml:space="preserve"> a focus on ownership, harmonisation, alignment, results and mutual accountability.</w:t>
      </w:r>
      <w:r>
        <w:rPr>
          <w:rStyle w:val="EndnoteReference"/>
        </w:rPr>
        <w:endnoteReference w:id="13"/>
      </w:r>
      <w:r w:rsidRPr="007B1877">
        <w:t xml:space="preserve"> These commitments were repeated in the next two high level for</w:t>
      </w:r>
      <w:r w:rsidR="00E92E3C">
        <w:t>ums</w:t>
      </w:r>
      <w:r w:rsidRPr="007B1877">
        <w:t xml:space="preserve"> </w:t>
      </w:r>
      <w:r w:rsidR="00E92E3C">
        <w:t>–</w:t>
      </w:r>
      <w:r w:rsidRPr="007B1877">
        <w:t xml:space="preserve"> in </w:t>
      </w:r>
      <w:r w:rsidRPr="005D79B8">
        <w:t>Accra</w:t>
      </w:r>
      <w:r w:rsidRPr="007B1877">
        <w:t xml:space="preserve"> in 2008</w:t>
      </w:r>
      <w:r w:rsidR="00DB2C82">
        <w:rPr>
          <w:rStyle w:val="EndnoteReference"/>
        </w:rPr>
        <w:endnoteReference w:id="14"/>
      </w:r>
      <w:r w:rsidRPr="007B1877">
        <w:t xml:space="preserve"> and in </w:t>
      </w:r>
      <w:r w:rsidRPr="005D79B8">
        <w:t>Busan</w:t>
      </w:r>
      <w:r w:rsidRPr="007B1877">
        <w:t xml:space="preserve"> in 2011</w:t>
      </w:r>
      <w:r w:rsidR="00DB2C82">
        <w:rPr>
          <w:rStyle w:val="EndnoteReference"/>
        </w:rPr>
        <w:endnoteReference w:id="15"/>
      </w:r>
      <w:r w:rsidRPr="007B1877">
        <w:t xml:space="preserve"> </w:t>
      </w:r>
      <w:r w:rsidR="00E92E3C">
        <w:t>–</w:t>
      </w:r>
      <w:r w:rsidRPr="007B1877">
        <w:t xml:space="preserve"> and continued in a similar format</w:t>
      </w:r>
      <w:r w:rsidR="00DB2C82">
        <w:rPr>
          <w:rStyle w:val="EndnoteReference"/>
        </w:rPr>
        <w:endnoteReference w:id="16"/>
      </w:r>
      <w:r w:rsidRPr="007B1877">
        <w:t xml:space="preserve"> at the high-level meetings of the </w:t>
      </w:r>
      <w:r w:rsidRPr="005D79B8">
        <w:t>Global Partnership for Effective Development Co-operation (GPEDC)</w:t>
      </w:r>
      <w:r w:rsidRPr="007B1877">
        <w:t xml:space="preserve"> in </w:t>
      </w:r>
      <w:r w:rsidRPr="005D79B8">
        <w:t>Mexico</w:t>
      </w:r>
      <w:r w:rsidRPr="007B1877">
        <w:t xml:space="preserve"> in 2014</w:t>
      </w:r>
      <w:r w:rsidR="00966848">
        <w:t>,</w:t>
      </w:r>
      <w:r w:rsidR="00DB2C82">
        <w:rPr>
          <w:rStyle w:val="EndnoteReference"/>
        </w:rPr>
        <w:endnoteReference w:id="17"/>
      </w:r>
      <w:r w:rsidRPr="007B1877">
        <w:t xml:space="preserve"> </w:t>
      </w:r>
      <w:r w:rsidRPr="005D79B8">
        <w:t>Nairobi</w:t>
      </w:r>
      <w:r w:rsidRPr="00CD3743">
        <w:t xml:space="preserve"> </w:t>
      </w:r>
      <w:r w:rsidRPr="007B1877">
        <w:t>in 2016</w:t>
      </w:r>
      <w:r w:rsidR="00DB2C82">
        <w:rPr>
          <w:rStyle w:val="EndnoteReference"/>
        </w:rPr>
        <w:endnoteReference w:id="18"/>
      </w:r>
      <w:r w:rsidRPr="007B1877">
        <w:t xml:space="preserve"> and </w:t>
      </w:r>
      <w:r w:rsidRPr="005D79B8">
        <w:t>New York</w:t>
      </w:r>
      <w:r w:rsidRPr="007B1877">
        <w:t xml:space="preserve"> in 2019.</w:t>
      </w:r>
      <w:r w:rsidR="00DB2C82">
        <w:rPr>
          <w:rStyle w:val="EndnoteReference"/>
        </w:rPr>
        <w:endnoteReference w:id="19"/>
      </w:r>
    </w:p>
    <w:p w14:paraId="08E2AE4F" w14:textId="167EA57B" w:rsidR="007B1877" w:rsidRPr="007B1877" w:rsidRDefault="007B1877" w:rsidP="00BA78DF">
      <w:pPr>
        <w:rPr>
          <w:rFonts w:ascii="Times New Roman" w:eastAsia="Times New Roman" w:hAnsi="Times New Roman" w:cs="Times New Roman"/>
          <w:color w:val="auto"/>
          <w:sz w:val="24"/>
          <w:szCs w:val="24"/>
          <w:lang w:eastAsia="en-GB"/>
        </w:rPr>
      </w:pPr>
      <w:r w:rsidRPr="007B1877">
        <w:rPr>
          <w:rFonts w:eastAsia="Times New Roman"/>
          <w:lang w:eastAsia="en-GB"/>
        </w:rPr>
        <w:t>Progress in meeting these commitments continues to be slow. A 2011 study concluded that “aid fragmentation persisted after the Paris Declaration and coordination among donors has even weakened.”</w:t>
      </w:r>
      <w:r w:rsidR="00DB2C82">
        <w:rPr>
          <w:rStyle w:val="EndnoteReference"/>
          <w:rFonts w:eastAsia="Times New Roman"/>
          <w:lang w:eastAsia="en-GB"/>
        </w:rPr>
        <w:endnoteReference w:id="20"/>
      </w:r>
      <w:r w:rsidRPr="007B1877">
        <w:rPr>
          <w:rFonts w:eastAsia="Times New Roman"/>
          <w:lang w:eastAsia="en-GB"/>
        </w:rPr>
        <w:t xml:space="preserve"> The GPEDC’s own 2019 Monitoring Report found that the “alignment of development partner projects to partner country objectives, results indicators, statistics and monitoring systems is declining.”</w:t>
      </w:r>
      <w:r w:rsidR="00DB2C82">
        <w:rPr>
          <w:rStyle w:val="EndnoteReference"/>
          <w:rFonts w:eastAsia="Times New Roman"/>
          <w:lang w:eastAsia="en-GB"/>
        </w:rPr>
        <w:endnoteReference w:id="21"/>
      </w:r>
    </w:p>
    <w:p w14:paraId="7E9D7753" w14:textId="1791B23B" w:rsidR="00BA78DF" w:rsidRDefault="00AD4675" w:rsidP="006A16BE">
      <w:pPr>
        <w:pStyle w:val="Quotetext"/>
        <w:rPr>
          <w:rFonts w:ascii="Times New Roman" w:hAnsi="Times New Roman"/>
          <w:color w:val="auto"/>
          <w:szCs w:val="15"/>
        </w:rPr>
      </w:pPr>
      <w:r>
        <w:rPr>
          <w:lang w:eastAsia="en-GB"/>
        </w:rPr>
        <w:t>“</w:t>
      </w:r>
      <w:r w:rsidR="007B1877" w:rsidRPr="007B1877">
        <w:rPr>
          <w:lang w:eastAsia="en-GB"/>
        </w:rPr>
        <w:t>The literature on aid effectiveness is replete with critiques of these donor commitments. For example, a 2018 paper reporting on a survey of 150 health workers in Ethiopia, Nigeria and India finds that</w:t>
      </w:r>
      <w:r w:rsidR="00BA78DF" w:rsidRPr="00AD4675">
        <w:rPr>
          <w:lang w:eastAsia="en-GB"/>
        </w:rPr>
        <w:t xml:space="preserve"> </w:t>
      </w:r>
      <w:r>
        <w:rPr>
          <w:lang w:eastAsia="en-GB"/>
        </w:rPr>
        <w:t>‘</w:t>
      </w:r>
      <w:r w:rsidR="00BA78DF" w:rsidRPr="00137770">
        <w:rPr>
          <w:rFonts w:cs="Arial"/>
          <w:bCs/>
        </w:rPr>
        <w:t>Despite wide acknowledgment of the importance of harmonisation, our respondents reported perennial problems making it difficult to achieve in practice. These included the large number of donors and implementers working on parallel innovations and programmes, the continued focus on ‘vertical’ project funding, and donors’ competing interests, priorities and ways of working</w:t>
      </w:r>
      <w:r w:rsidRPr="00137770">
        <w:rPr>
          <w:rFonts w:cs="Arial"/>
          <w:bCs/>
        </w:rPr>
        <w:t>’</w:t>
      </w:r>
      <w:r w:rsidR="00BA78DF" w:rsidRPr="00137770">
        <w:rPr>
          <w:rFonts w:cs="Arial"/>
          <w:bCs/>
        </w:rPr>
        <w:t>.</w:t>
      </w:r>
      <w:r w:rsidRPr="00137770">
        <w:rPr>
          <w:rFonts w:cs="Arial"/>
          <w:bCs/>
        </w:rPr>
        <w:t>”</w:t>
      </w:r>
      <w:r w:rsidR="00BA78DF" w:rsidRPr="00137770">
        <w:rPr>
          <w:rStyle w:val="EndnoteReference"/>
          <w:rFonts w:cs="Arial"/>
          <w:bCs/>
          <w:i/>
          <w:iCs/>
        </w:rPr>
        <w:endnoteReference w:id="22"/>
      </w:r>
    </w:p>
    <w:p w14:paraId="138CDA02" w14:textId="2661E8EC" w:rsidR="00BA78DF" w:rsidRDefault="00BA78DF" w:rsidP="00BA78DF">
      <w:r>
        <w:t>Our experiences working across seven countries</w:t>
      </w:r>
      <w:r w:rsidR="009D5C1E" w:rsidRPr="009D5C1E">
        <w:t xml:space="preserve"> </w:t>
      </w:r>
      <w:r w:rsidR="009D5C1E">
        <w:t>bear this out.</w:t>
      </w:r>
      <w:r>
        <w:rPr>
          <w:rStyle w:val="EndnoteReference"/>
          <w:rFonts w:cs="Arial"/>
          <w:color w:val="000000"/>
        </w:rPr>
        <w:endnoteReference w:id="23"/>
      </w:r>
      <w:r>
        <w:t xml:space="preserve"> Below we highlight three issues that we came across with regularity: the duplication of effort in competing </w:t>
      </w:r>
      <w:r w:rsidRPr="00BA78DF">
        <w:t>household surveys; the duplication of investments in administrative systems; and national data governance and infrastructures</w:t>
      </w:r>
      <w:r w:rsidR="005621B5">
        <w:t xml:space="preserve"> not being followed by </w:t>
      </w:r>
      <w:r w:rsidR="005621B5" w:rsidRPr="00BA78DF">
        <w:t>the humanitarian community</w:t>
      </w:r>
      <w:r w:rsidRPr="00BA78DF">
        <w:t>.</w:t>
      </w:r>
    </w:p>
    <w:p w14:paraId="15DEAB22" w14:textId="77777777" w:rsidR="00516E20" w:rsidRDefault="00516E20">
      <w:pPr>
        <w:spacing w:before="0" w:line="240" w:lineRule="auto"/>
        <w:rPr>
          <w:rFonts w:asciiTheme="majorHAnsi" w:eastAsiaTheme="majorEastAsia" w:hAnsiTheme="majorHAnsi" w:cstheme="majorBidi"/>
          <w:b/>
          <w:bCs/>
          <w:color w:val="008ACC" w:themeColor="text2"/>
          <w:sz w:val="60"/>
          <w:szCs w:val="32"/>
        </w:rPr>
      </w:pPr>
      <w:r>
        <w:br w:type="page"/>
      </w:r>
    </w:p>
    <w:p w14:paraId="3126E9C1" w14:textId="4C3E8770" w:rsidR="00BA78DF" w:rsidRPr="00F15624" w:rsidRDefault="00BA78DF" w:rsidP="0045351C">
      <w:pPr>
        <w:pStyle w:val="Heading1"/>
      </w:pPr>
      <w:bookmarkStart w:id="9" w:name="_Toc94984925"/>
      <w:r w:rsidRPr="00F15624">
        <w:lastRenderedPageBreak/>
        <w:t>Duplicating household surveys</w:t>
      </w:r>
      <w:bookmarkEnd w:id="9"/>
    </w:p>
    <w:p w14:paraId="3CE24D5B" w14:textId="6517DD26" w:rsidR="00BA78DF" w:rsidRDefault="00BA78DF" w:rsidP="00BA78DF">
      <w:r>
        <w:t>In the absence of reliable administrative data, household surveys continue to play a critical role in low</w:t>
      </w:r>
      <w:r w:rsidR="00516E20">
        <w:t>-</w:t>
      </w:r>
      <w:r>
        <w:t xml:space="preserve"> and middle</w:t>
      </w:r>
      <w:r w:rsidR="00516E20">
        <w:t>-</w:t>
      </w:r>
      <w:r>
        <w:t xml:space="preserve">income countries. Advances made in the implementation of mobile-based surveys during the </w:t>
      </w:r>
      <w:r w:rsidR="00827BB9">
        <w:t>Covid</w:t>
      </w:r>
      <w:r>
        <w:t xml:space="preserve">-19 pandemic have breathed new life into the format. While, as we argued in our first paper, the affordable level of geographic disaggregation available to most surveys renders them of </w:t>
      </w:r>
      <w:r w:rsidR="005440AF">
        <w:t xml:space="preserve">limited </w:t>
      </w:r>
      <w:r>
        <w:t>use to planning and monitoring at the point of service delivery, they remain essential sources in many countries.</w:t>
      </w:r>
    </w:p>
    <w:p w14:paraId="50BE7765" w14:textId="2D4AE56D" w:rsidR="00BA78DF" w:rsidRDefault="00BA78DF" w:rsidP="00BA78DF">
      <w:r>
        <w:t>UNICEF’s Multiple Indicator Cluster Survey (MICS) and the USAID</w:t>
      </w:r>
      <w:r w:rsidR="005440AF">
        <w:t>-</w:t>
      </w:r>
      <w:r>
        <w:t>funded Demographic and Health Survey (DHS)</w:t>
      </w:r>
      <w:r>
        <w:rPr>
          <w:rStyle w:val="EndnoteReference"/>
        </w:rPr>
        <w:endnoteReference w:id="24"/>
      </w:r>
      <w:r>
        <w:t xml:space="preserve"> remain the most widely used sources of socioeconomic (and </w:t>
      </w:r>
      <w:r w:rsidR="005440AF">
        <w:t xml:space="preserve">Sustainable Development Goal; </w:t>
      </w:r>
      <w:r>
        <w:t>SDG) statistics in many countries.</w:t>
      </w:r>
      <w:r>
        <w:rPr>
          <w:rStyle w:val="EndnoteReference"/>
        </w:rPr>
        <w:endnoteReference w:id="25"/>
      </w:r>
      <w:r>
        <w:t xml:space="preserve"> Our 2016 paper comparing these two surveys found that two-thirds of the questions are either identical or similar enough to be practically comparable.</w:t>
      </w:r>
      <w:r>
        <w:rPr>
          <w:rStyle w:val="EndnoteReference"/>
        </w:rPr>
        <w:endnoteReference w:id="26"/>
      </w:r>
      <w:r>
        <w:t xml:space="preserve"> Even where similar, differences in the structure and syntax of the microdata makes it very difficult to compare or merge DHS and MICS data.</w:t>
      </w:r>
    </w:p>
    <w:p w14:paraId="35F747A4" w14:textId="5F9FBB1A" w:rsidR="00BA78DF" w:rsidRDefault="00BA78DF" w:rsidP="00BA78DF">
      <w:r>
        <w:t>Over the past decade 105 DHS and MICS surveys have been conducted in 42</w:t>
      </w:r>
      <w:r w:rsidR="005440AF">
        <w:t xml:space="preserve"> countries in</w:t>
      </w:r>
      <w:r>
        <w:t xml:space="preserve"> Sub-Saharan Africa</w:t>
      </w:r>
      <w:r w:rsidR="005440AF">
        <w:t>, and</w:t>
      </w:r>
      <w:r>
        <w:t xml:space="preserve"> 20 countries have conducted both surveys (</w:t>
      </w:r>
      <w:r w:rsidR="005440AF">
        <w:t>s</w:t>
      </w:r>
      <w:r>
        <w:t>ee Appendix 1 for details)</w:t>
      </w:r>
      <w:r w:rsidR="005440AF">
        <w:t>.</w:t>
      </w:r>
      <w:r>
        <w:t xml:space="preserve"> </w:t>
      </w:r>
      <w:r w:rsidR="009B2C9C">
        <w:t>Is there a reason</w:t>
      </w:r>
      <w:r>
        <w:t xml:space="preserve"> why so many countries run both</w:t>
      </w:r>
      <w:r w:rsidR="00717128">
        <w:t xml:space="preserve"> surveys</w:t>
      </w:r>
      <w:r w:rsidR="009B2C9C">
        <w:t>, despite their similarities,</w:t>
      </w:r>
      <w:r>
        <w:t xml:space="preserve"> rather than investing in the continuity of just one? </w:t>
      </w:r>
    </w:p>
    <w:p w14:paraId="688AA21A" w14:textId="1C0933AE" w:rsidR="000A4CD2" w:rsidRPr="000A4CD2" w:rsidRDefault="009B2C9C" w:rsidP="000A4CD2">
      <w:r>
        <w:t xml:space="preserve">Yes. </w:t>
      </w:r>
      <w:r w:rsidR="00BA78DF" w:rsidRPr="000A4CD2">
        <w:t xml:space="preserve">Firstly, they cost nothing to the country </w:t>
      </w:r>
      <w:r w:rsidR="00717128">
        <w:t>because</w:t>
      </w:r>
      <w:r w:rsidR="00717128" w:rsidRPr="000A4CD2">
        <w:t xml:space="preserve"> </w:t>
      </w:r>
      <w:r w:rsidR="00BA78DF" w:rsidRPr="000A4CD2">
        <w:t>they are fully donor</w:t>
      </w:r>
      <w:r>
        <w:t xml:space="preserve"> </w:t>
      </w:r>
      <w:r w:rsidR="00BA78DF" w:rsidRPr="000A4CD2">
        <w:t>funded</w:t>
      </w:r>
      <w:r>
        <w:t>;</w:t>
      </w:r>
      <w:r w:rsidR="00BA78DF" w:rsidRPr="000A4CD2">
        <w:t xml:space="preserve"> </w:t>
      </w:r>
      <w:r>
        <w:t>i</w:t>
      </w:r>
      <w:r w:rsidR="00BA78DF" w:rsidRPr="000A4CD2">
        <w:t xml:space="preserve">n fact in many countries survey financing contributes to the </w:t>
      </w:r>
      <w:r>
        <w:t xml:space="preserve">national statistics office </w:t>
      </w:r>
      <w:r w:rsidR="00BA78DF" w:rsidRPr="000A4CD2">
        <w:t>wage bill. Secondly, as they are expensive to run, donors typically fund them in five-year cycles, so interspersing the two provides more regular coverage. Thirdly, they are often managed by competing national institutions. In Nigeria, for example, MICS is conducted by the National Bureau of Statistics</w:t>
      </w:r>
      <w:r w:rsidR="00BA78DF" w:rsidRPr="000A4CD2">
        <w:rPr>
          <w:rStyle w:val="EndnoteReference"/>
        </w:rPr>
        <w:endnoteReference w:id="27"/>
      </w:r>
      <w:r w:rsidR="00BA78DF" w:rsidRPr="000A4CD2">
        <w:t xml:space="preserve"> </w:t>
      </w:r>
      <w:r w:rsidR="0028749D">
        <w:t xml:space="preserve">and </w:t>
      </w:r>
      <w:r w:rsidR="00BA78DF" w:rsidRPr="000A4CD2">
        <w:t>DHS by the National Population Commission.</w:t>
      </w:r>
      <w:r w:rsidR="00BA78DF" w:rsidRPr="000A4CD2">
        <w:rPr>
          <w:rStyle w:val="EndnoteReference"/>
        </w:rPr>
        <w:endnoteReference w:id="28"/>
      </w:r>
      <w:r w:rsidR="00BA78DF" w:rsidRPr="000A4CD2">
        <w:t xml:space="preserve"> </w:t>
      </w:r>
      <w:r w:rsidR="00421BAD">
        <w:t>It appears that n</w:t>
      </w:r>
      <w:r w:rsidR="00421BAD" w:rsidRPr="000A4CD2">
        <w:t xml:space="preserve">o </w:t>
      </w:r>
      <w:r w:rsidR="00BA78DF" w:rsidRPr="000A4CD2">
        <w:t>attempt has been made to merge or compare the data between surveys. Similarly, in Bangladesh MICS is conducted by the Bangladesh Bureau of Statistics</w:t>
      </w:r>
      <w:r w:rsidR="00BA78DF" w:rsidRPr="000A4CD2">
        <w:rPr>
          <w:rStyle w:val="EndnoteReference"/>
        </w:rPr>
        <w:endnoteReference w:id="29"/>
      </w:r>
      <w:r w:rsidR="00BA78DF" w:rsidRPr="000A4CD2">
        <w:t xml:space="preserve"> </w:t>
      </w:r>
      <w:r w:rsidR="00421BAD">
        <w:t xml:space="preserve">and </w:t>
      </w:r>
      <w:r w:rsidR="00BA78DF" w:rsidRPr="000A4CD2">
        <w:t>DHS b</w:t>
      </w:r>
      <w:r w:rsidR="00BA78DF" w:rsidRPr="00421BAD">
        <w:rPr>
          <w:szCs w:val="20"/>
        </w:rPr>
        <w:t>y the National Institute of Population</w:t>
      </w:r>
      <w:r w:rsidR="000A4CD2" w:rsidRPr="00421BAD">
        <w:rPr>
          <w:szCs w:val="20"/>
        </w:rPr>
        <w:t xml:space="preserve"> </w:t>
      </w:r>
      <w:r w:rsidR="000A4CD2" w:rsidRPr="00616BE9">
        <w:rPr>
          <w:rFonts w:cs="Arial"/>
          <w:szCs w:val="20"/>
        </w:rPr>
        <w:t>Research and Training.</w:t>
      </w:r>
      <w:r w:rsidR="000A4CD2" w:rsidRPr="00421BAD">
        <w:rPr>
          <w:rStyle w:val="EndnoteReference"/>
          <w:rFonts w:cs="Arial"/>
          <w:szCs w:val="20"/>
        </w:rPr>
        <w:endnoteReference w:id="30"/>
      </w:r>
      <w:r w:rsidR="000A4CD2" w:rsidRPr="00616BE9">
        <w:rPr>
          <w:rFonts w:cs="Arial"/>
          <w:szCs w:val="20"/>
        </w:rPr>
        <w:t xml:space="preserve"> </w:t>
      </w:r>
      <w:r w:rsidR="00421BAD">
        <w:rPr>
          <w:rFonts w:cs="Arial"/>
          <w:szCs w:val="20"/>
        </w:rPr>
        <w:t>It seems t</w:t>
      </w:r>
      <w:r w:rsidR="00421BAD" w:rsidRPr="00616BE9">
        <w:rPr>
          <w:rFonts w:cs="Arial"/>
          <w:szCs w:val="20"/>
        </w:rPr>
        <w:t xml:space="preserve">he </w:t>
      </w:r>
      <w:r w:rsidR="000A4CD2" w:rsidRPr="00616BE9">
        <w:rPr>
          <w:rFonts w:cs="Arial"/>
          <w:szCs w:val="20"/>
        </w:rPr>
        <w:t>two institutions have no systematic mechanism for collaborating or sharing</w:t>
      </w:r>
      <w:r w:rsidR="00421BAD">
        <w:rPr>
          <w:rFonts w:cs="Arial"/>
          <w:szCs w:val="20"/>
        </w:rPr>
        <w:t>,</w:t>
      </w:r>
      <w:r w:rsidR="000A4CD2" w:rsidRPr="00616BE9">
        <w:rPr>
          <w:rFonts w:cs="Arial"/>
          <w:szCs w:val="20"/>
        </w:rPr>
        <w:t xml:space="preserve"> and they seldom do.</w:t>
      </w:r>
      <w:r w:rsidR="000A4CD2" w:rsidRPr="00421BAD">
        <w:rPr>
          <w:rStyle w:val="EndnoteReference"/>
          <w:rFonts w:cs="Arial"/>
          <w:szCs w:val="20"/>
        </w:rPr>
        <w:endnoteReference w:id="31"/>
      </w:r>
    </w:p>
    <w:p w14:paraId="2979BF0D" w14:textId="03CAD3F7" w:rsidR="000A4CD2" w:rsidRPr="00616BE9" w:rsidRDefault="000A4CD2" w:rsidP="000A4CD2">
      <w:pPr>
        <w:rPr>
          <w:rFonts w:eastAsia="Times New Roman" w:cs="Arial"/>
          <w:szCs w:val="20"/>
          <w:lang w:eastAsia="en-GB"/>
        </w:rPr>
      </w:pPr>
      <w:r w:rsidRPr="00616BE9">
        <w:rPr>
          <w:rFonts w:eastAsia="Times New Roman" w:cs="Arial"/>
          <w:szCs w:val="20"/>
          <w:lang w:eastAsia="en-GB"/>
        </w:rPr>
        <w:t>In March 2015 the World Bank submitted a report on improving household surveys to the UN Statistical Commission (UNSC). Its diagnosis was blunt:</w:t>
      </w:r>
    </w:p>
    <w:p w14:paraId="7FD6FB19" w14:textId="77777777" w:rsidR="00137770" w:rsidRDefault="00137770">
      <w:pPr>
        <w:spacing w:before="0" w:line="240" w:lineRule="auto"/>
        <w:rPr>
          <w:b/>
          <w:color w:val="0072B2" w:themeColor="accent4"/>
          <w:sz w:val="22"/>
        </w:rPr>
      </w:pPr>
      <w:r>
        <w:br w:type="page"/>
      </w:r>
    </w:p>
    <w:p w14:paraId="0DD1060B" w14:textId="0F31AD6E" w:rsidR="00BA78DF" w:rsidRPr="000A4CD2" w:rsidRDefault="003F47AC" w:rsidP="006A16BE">
      <w:pPr>
        <w:pStyle w:val="Quotetext"/>
        <w:rPr>
          <w:rFonts w:ascii="Times New Roman" w:eastAsia="Times New Roman" w:hAnsi="Times New Roman" w:cs="Times New Roman"/>
          <w:color w:val="453F43" w:themeColor="background2"/>
          <w:sz w:val="24"/>
          <w:szCs w:val="24"/>
          <w:lang w:eastAsia="en-GB"/>
        </w:rPr>
      </w:pPr>
      <w:r>
        <w:lastRenderedPageBreak/>
        <w:t>“</w:t>
      </w:r>
      <w:r w:rsidR="000A4CD2">
        <w:t>The fragmentation of efforts, self-interest and poor coordination and harmonization of standards across stakeholders is symptomatic of the absence of a proper institutional framework to support a renewed household survey agenda.</w:t>
      </w:r>
      <w:r>
        <w:t>”</w:t>
      </w:r>
      <w:r w:rsidR="000A4CD2">
        <w:rPr>
          <w:rStyle w:val="EndnoteReference"/>
        </w:rPr>
        <w:endnoteReference w:id="32"/>
      </w:r>
    </w:p>
    <w:p w14:paraId="64504551" w14:textId="125E20E6" w:rsidR="000A4CD2" w:rsidRPr="000A4CD2" w:rsidRDefault="000A4CD2" w:rsidP="000A4CD2">
      <w:pPr>
        <w:rPr>
          <w:rFonts w:ascii="Times New Roman" w:hAnsi="Times New Roman" w:cs="Times New Roman"/>
          <w:color w:val="auto"/>
          <w:sz w:val="24"/>
          <w:szCs w:val="24"/>
          <w:lang w:eastAsia="en-GB"/>
        </w:rPr>
      </w:pPr>
      <w:r w:rsidRPr="000A4CD2">
        <w:rPr>
          <w:lang w:eastAsia="en-GB"/>
        </w:rPr>
        <w:t>This resulted in the formation of the Intersecretariat Working Group on Household Surveys (IWGHS),</w:t>
      </w:r>
      <w:r>
        <w:rPr>
          <w:rStyle w:val="EndnoteReference"/>
          <w:lang w:eastAsia="en-GB"/>
        </w:rPr>
        <w:endnoteReference w:id="33"/>
      </w:r>
      <w:r w:rsidRPr="000A4CD2">
        <w:rPr>
          <w:lang w:eastAsia="en-GB"/>
        </w:rPr>
        <w:t xml:space="preserve"> one of its aims being to “promote coordination and cooperation in the planning, funding and implementation of household surveys.”</w:t>
      </w:r>
      <w:r>
        <w:rPr>
          <w:rStyle w:val="EndnoteReference"/>
          <w:lang w:eastAsia="en-GB"/>
        </w:rPr>
        <w:endnoteReference w:id="34"/>
      </w:r>
    </w:p>
    <w:p w14:paraId="76802198" w14:textId="3C2BDFB2" w:rsidR="000A4CD2" w:rsidRPr="000A4CD2" w:rsidRDefault="000A4CD2" w:rsidP="000A4CD2">
      <w:pPr>
        <w:rPr>
          <w:rFonts w:ascii="Times New Roman" w:hAnsi="Times New Roman" w:cs="Times New Roman"/>
          <w:color w:val="auto"/>
          <w:sz w:val="24"/>
          <w:szCs w:val="24"/>
          <w:lang w:eastAsia="en-GB"/>
        </w:rPr>
      </w:pPr>
      <w:r w:rsidRPr="000A4CD2">
        <w:rPr>
          <w:lang w:eastAsia="en-GB"/>
        </w:rPr>
        <w:t xml:space="preserve">Five years on, in its report back to the 2021 UNSC, the IWGHS revealed that </w:t>
      </w:r>
      <w:r w:rsidR="00421BAD">
        <w:rPr>
          <w:lang w:eastAsia="en-GB"/>
        </w:rPr>
        <w:t>limited</w:t>
      </w:r>
      <w:r w:rsidR="00421BAD" w:rsidRPr="000A4CD2">
        <w:rPr>
          <w:lang w:eastAsia="en-GB"/>
        </w:rPr>
        <w:t xml:space="preserve"> </w:t>
      </w:r>
      <w:r w:rsidRPr="000A4CD2">
        <w:rPr>
          <w:lang w:eastAsia="en-GB"/>
        </w:rPr>
        <w:t>progress had been made</w:t>
      </w:r>
      <w:r w:rsidR="002D0CF3">
        <w:rPr>
          <w:lang w:eastAsia="en-GB"/>
        </w:rPr>
        <w:t xml:space="preserve">, stating </w:t>
      </w:r>
      <w:r w:rsidR="00AF48ED">
        <w:rPr>
          <w:lang w:eastAsia="en-GB"/>
        </w:rPr>
        <w:t xml:space="preserve">only </w:t>
      </w:r>
      <w:r w:rsidR="002D0CF3">
        <w:rPr>
          <w:lang w:eastAsia="en-GB"/>
        </w:rPr>
        <w:t>that</w:t>
      </w:r>
      <w:r w:rsidRPr="000A4CD2">
        <w:rPr>
          <w:lang w:eastAsia="en-GB"/>
        </w:rPr>
        <w:t xml:space="preserve"> “with the objective of fostering the coordination of household survey operations, two task forces were established…”</w:t>
      </w:r>
      <w:r>
        <w:rPr>
          <w:rStyle w:val="EndnoteReference"/>
          <w:lang w:eastAsia="en-GB"/>
        </w:rPr>
        <w:endnoteReference w:id="35"/>
      </w:r>
    </w:p>
    <w:p w14:paraId="2C95B703" w14:textId="55213CBC" w:rsidR="000A4CD2" w:rsidRDefault="000A4CD2" w:rsidP="000A4CD2">
      <w:pPr>
        <w:rPr>
          <w:lang w:eastAsia="en-GB"/>
        </w:rPr>
      </w:pPr>
      <w:r w:rsidRPr="000A4CD2">
        <w:rPr>
          <w:lang w:eastAsia="en-GB"/>
        </w:rPr>
        <w:t>Not only has little progress been made, but in a background paper submitted to the 2019 UNSC the secretariat argued that</w:t>
      </w:r>
      <w:r w:rsidR="002D0CF3">
        <w:rPr>
          <w:lang w:eastAsia="en-GB"/>
        </w:rPr>
        <w:t>:</w:t>
      </w:r>
    </w:p>
    <w:p w14:paraId="6804E294" w14:textId="24BCFDA5" w:rsidR="000A4CD2" w:rsidRPr="000A4CD2" w:rsidRDefault="003F47AC" w:rsidP="006A16BE">
      <w:pPr>
        <w:pStyle w:val="Quotetext"/>
        <w:rPr>
          <w:rFonts w:ascii="Times New Roman" w:hAnsi="Times New Roman" w:cs="Times New Roman"/>
          <w:color w:val="auto"/>
          <w:sz w:val="24"/>
          <w:szCs w:val="24"/>
          <w:lang w:eastAsia="en-GB"/>
        </w:rPr>
      </w:pPr>
      <w:r>
        <w:t>“</w:t>
      </w:r>
      <w:r w:rsidR="000A4CD2">
        <w:t>Alternating surveys with similar content and coverage can reduce redundancies in data collection, especially on indicators that do not change rapidly. For instance, in several countries, such as Nigeria and Ghana, MICS and DHS surveys are alternated, creating a steady set of trend data on comparable indicators, thus broadening the overall data landscape.</w:t>
      </w:r>
      <w:r>
        <w:t>”</w:t>
      </w:r>
      <w:r w:rsidR="000A4CD2">
        <w:rPr>
          <w:rStyle w:val="EndnoteReference"/>
        </w:rPr>
        <w:endnoteReference w:id="36"/>
      </w:r>
    </w:p>
    <w:p w14:paraId="2EC470E6" w14:textId="0510D8B6" w:rsidR="000A4CD2" w:rsidRPr="000A4CD2" w:rsidRDefault="000A4CD2" w:rsidP="000A4CD2">
      <w:pPr>
        <w:rPr>
          <w:rFonts w:ascii="Times New Roman" w:hAnsi="Times New Roman" w:cs="Times New Roman"/>
          <w:color w:val="auto"/>
          <w:sz w:val="24"/>
          <w:szCs w:val="24"/>
          <w:lang w:eastAsia="en-GB"/>
        </w:rPr>
      </w:pPr>
      <w:r w:rsidRPr="000A4CD2">
        <w:rPr>
          <w:lang w:eastAsia="en-GB"/>
        </w:rPr>
        <w:t>As mentioned above</w:t>
      </w:r>
      <w:r w:rsidR="000E274F">
        <w:rPr>
          <w:lang w:eastAsia="en-GB"/>
        </w:rPr>
        <w:t>,</w:t>
      </w:r>
      <w:r w:rsidRPr="000A4CD2">
        <w:rPr>
          <w:lang w:eastAsia="en-GB"/>
        </w:rPr>
        <w:t xml:space="preserve"> we learnt first</w:t>
      </w:r>
      <w:r w:rsidR="008D7AE3">
        <w:rPr>
          <w:lang w:eastAsia="en-GB"/>
        </w:rPr>
        <w:t>-</w:t>
      </w:r>
      <w:r w:rsidRPr="000A4CD2">
        <w:rPr>
          <w:lang w:eastAsia="en-GB"/>
        </w:rPr>
        <w:t xml:space="preserve">hand in both Nigeria and Bangladesh </w:t>
      </w:r>
      <w:r w:rsidR="002B5565">
        <w:rPr>
          <w:lang w:eastAsia="en-GB"/>
        </w:rPr>
        <w:t>that</w:t>
      </w:r>
      <w:r w:rsidR="002B5565" w:rsidRPr="000A4CD2">
        <w:rPr>
          <w:lang w:eastAsia="en-GB"/>
        </w:rPr>
        <w:t xml:space="preserve"> </w:t>
      </w:r>
      <w:r w:rsidRPr="000A4CD2">
        <w:rPr>
          <w:lang w:eastAsia="en-GB"/>
        </w:rPr>
        <w:t xml:space="preserve">MICS and DHS data </w:t>
      </w:r>
      <w:r w:rsidR="00BE0E78">
        <w:rPr>
          <w:lang w:eastAsia="en-GB"/>
        </w:rPr>
        <w:t>is not joined up</w:t>
      </w:r>
      <w:r w:rsidR="00AF48ED">
        <w:rPr>
          <w:lang w:eastAsia="en-GB"/>
        </w:rPr>
        <w:t>.</w:t>
      </w:r>
      <w:r w:rsidR="00BE0E78">
        <w:rPr>
          <w:lang w:eastAsia="en-GB"/>
        </w:rPr>
        <w:t xml:space="preserve"> </w:t>
      </w:r>
      <w:r w:rsidR="00AF48ED">
        <w:rPr>
          <w:lang w:eastAsia="en-GB"/>
        </w:rPr>
        <w:t>W</w:t>
      </w:r>
      <w:r w:rsidR="00BE0E78">
        <w:rPr>
          <w:lang w:eastAsia="en-GB"/>
        </w:rPr>
        <w:t xml:space="preserve">ere it to be made interoperable, this could </w:t>
      </w:r>
      <w:r w:rsidR="00F17CB4">
        <w:rPr>
          <w:lang w:eastAsia="en-GB"/>
        </w:rPr>
        <w:t xml:space="preserve">at least </w:t>
      </w:r>
      <w:r w:rsidR="00BE0E78">
        <w:rPr>
          <w:lang w:eastAsia="en-GB"/>
        </w:rPr>
        <w:t xml:space="preserve">help to move data out of silos. </w:t>
      </w:r>
    </w:p>
    <w:p w14:paraId="412BEA17" w14:textId="05A89A9B" w:rsidR="000A4CD2" w:rsidRPr="000A4CD2" w:rsidRDefault="000A4CD2" w:rsidP="000A4CD2">
      <w:pPr>
        <w:rPr>
          <w:rFonts w:ascii="Times New Roman" w:hAnsi="Times New Roman" w:cs="Times New Roman"/>
          <w:color w:val="auto"/>
          <w:sz w:val="24"/>
          <w:szCs w:val="24"/>
          <w:lang w:eastAsia="en-GB"/>
        </w:rPr>
      </w:pPr>
      <w:r w:rsidRPr="000A4CD2">
        <w:rPr>
          <w:lang w:eastAsia="en-GB"/>
        </w:rPr>
        <w:t>DHS and MICS are the most widely used surveys</w:t>
      </w:r>
      <w:r w:rsidR="00632F48">
        <w:rPr>
          <w:lang w:eastAsia="en-GB"/>
        </w:rPr>
        <w:t>,</w:t>
      </w:r>
      <w:r w:rsidRPr="000A4CD2">
        <w:rPr>
          <w:lang w:eastAsia="en-GB"/>
        </w:rPr>
        <w:t xml:space="preserve"> but there are many more. Between 2009 and 2018</w:t>
      </w:r>
      <w:r w:rsidR="00632F48">
        <w:rPr>
          <w:lang w:eastAsia="en-GB"/>
        </w:rPr>
        <w:t>,</w:t>
      </w:r>
      <w:r w:rsidRPr="000A4CD2">
        <w:rPr>
          <w:lang w:eastAsia="en-GB"/>
        </w:rPr>
        <w:t xml:space="preserve"> 33 different surveys were conducted in Zimbabwe,</w:t>
      </w:r>
      <w:r w:rsidR="00EA7A00">
        <w:rPr>
          <w:rStyle w:val="EndnoteReference"/>
          <w:lang w:eastAsia="en-GB"/>
        </w:rPr>
        <w:endnoteReference w:id="37"/>
      </w:r>
      <w:r w:rsidRPr="000A4CD2">
        <w:rPr>
          <w:lang w:eastAsia="en-GB"/>
        </w:rPr>
        <w:t xml:space="preserve"> supported by 12 different donors.</w:t>
      </w:r>
      <w:r w:rsidR="00EA7A00">
        <w:rPr>
          <w:rStyle w:val="EndnoteReference"/>
          <w:lang w:eastAsia="en-GB"/>
        </w:rPr>
        <w:endnoteReference w:id="38"/>
      </w:r>
      <w:r w:rsidRPr="000A4CD2">
        <w:rPr>
          <w:lang w:eastAsia="en-GB"/>
        </w:rPr>
        <w:t xml:space="preserve"> Only three of these surveys were disaggregated to district level to be of use to local government and service delivery agencies (</w:t>
      </w:r>
      <w:r w:rsidR="00632F48">
        <w:rPr>
          <w:lang w:eastAsia="en-GB"/>
        </w:rPr>
        <w:t>s</w:t>
      </w:r>
      <w:r w:rsidRPr="000A4CD2">
        <w:rPr>
          <w:lang w:eastAsia="en-GB"/>
        </w:rPr>
        <w:t xml:space="preserve">ee </w:t>
      </w:r>
      <w:r w:rsidR="00184F81">
        <w:rPr>
          <w:lang w:eastAsia="en-GB"/>
        </w:rPr>
        <w:t xml:space="preserve">Table 2 in the </w:t>
      </w:r>
      <w:r w:rsidRPr="000A4CD2">
        <w:rPr>
          <w:lang w:eastAsia="en-GB"/>
        </w:rPr>
        <w:t>Appendix for details)</w:t>
      </w:r>
      <w:r w:rsidR="00632F48">
        <w:rPr>
          <w:lang w:eastAsia="en-GB"/>
        </w:rPr>
        <w:t>.</w:t>
      </w:r>
    </w:p>
    <w:p w14:paraId="4CC05995" w14:textId="644A96EA" w:rsidR="000A4CD2" w:rsidRPr="000A4CD2" w:rsidRDefault="00FF7749" w:rsidP="000A4CD2">
      <w:pPr>
        <w:rPr>
          <w:rFonts w:ascii="Times New Roman" w:hAnsi="Times New Roman" w:cs="Times New Roman"/>
          <w:color w:val="auto"/>
          <w:sz w:val="24"/>
          <w:szCs w:val="24"/>
          <w:lang w:eastAsia="en-GB"/>
        </w:rPr>
      </w:pPr>
      <w:r>
        <w:rPr>
          <w:lang w:eastAsia="en-GB"/>
        </w:rPr>
        <w:t>There are reasons why countries are</w:t>
      </w:r>
      <w:r w:rsidRPr="000A4CD2">
        <w:rPr>
          <w:lang w:eastAsia="en-GB"/>
        </w:rPr>
        <w:t xml:space="preserve"> </w:t>
      </w:r>
      <w:r w:rsidR="000A4CD2" w:rsidRPr="000A4CD2">
        <w:rPr>
          <w:lang w:eastAsia="en-GB"/>
        </w:rPr>
        <w:t>conduct</w:t>
      </w:r>
      <w:r>
        <w:rPr>
          <w:lang w:eastAsia="en-GB"/>
        </w:rPr>
        <w:t>ing</w:t>
      </w:r>
      <w:r w:rsidR="000A4CD2" w:rsidRPr="000A4CD2">
        <w:rPr>
          <w:lang w:eastAsia="en-GB"/>
        </w:rPr>
        <w:t xml:space="preserve"> </w:t>
      </w:r>
      <w:r w:rsidR="00C35032">
        <w:rPr>
          <w:lang w:eastAsia="en-GB"/>
        </w:rPr>
        <w:t>multiple</w:t>
      </w:r>
      <w:r w:rsidR="000A4CD2" w:rsidRPr="000A4CD2">
        <w:rPr>
          <w:lang w:eastAsia="en-GB"/>
        </w:rPr>
        <w:t xml:space="preserve"> one-off, small</w:t>
      </w:r>
      <w:r w:rsidR="00C35032">
        <w:rPr>
          <w:lang w:eastAsia="en-GB"/>
        </w:rPr>
        <w:t>-</w:t>
      </w:r>
      <w:r w:rsidR="000A4CD2" w:rsidRPr="000A4CD2">
        <w:rPr>
          <w:lang w:eastAsia="en-GB"/>
        </w:rPr>
        <w:t>sample surveys</w:t>
      </w:r>
      <w:r>
        <w:rPr>
          <w:lang w:eastAsia="en-GB"/>
        </w:rPr>
        <w:t>.</w:t>
      </w:r>
      <w:r w:rsidR="000A4CD2" w:rsidRPr="000A4CD2">
        <w:rPr>
          <w:lang w:eastAsia="en-GB"/>
        </w:rPr>
        <w:t xml:space="preserve"> Firstly, because th</w:t>
      </w:r>
      <w:r>
        <w:rPr>
          <w:lang w:eastAsia="en-GB"/>
        </w:rPr>
        <w:t>is</w:t>
      </w:r>
      <w:r w:rsidR="000A4CD2" w:rsidRPr="000A4CD2">
        <w:rPr>
          <w:lang w:eastAsia="en-GB"/>
        </w:rPr>
        <w:t xml:space="preserve"> is what donors are offering. Secondly, in Zimbabwe at least, the US$50 daily stipends offered to statisticians for field work </w:t>
      </w:r>
      <w:r w:rsidR="00184F81">
        <w:rPr>
          <w:lang w:eastAsia="en-GB"/>
        </w:rPr>
        <w:t xml:space="preserve">support </w:t>
      </w:r>
      <w:r w:rsidR="000A4CD2" w:rsidRPr="000A4CD2">
        <w:rPr>
          <w:lang w:eastAsia="en-GB"/>
        </w:rPr>
        <w:t>staff</w:t>
      </w:r>
      <w:r w:rsidR="00184F81">
        <w:rPr>
          <w:lang w:eastAsia="en-GB"/>
        </w:rPr>
        <w:t xml:space="preserve"> incomes and can help retain staff</w:t>
      </w:r>
      <w:r w:rsidR="000A4CD2" w:rsidRPr="000A4CD2">
        <w:rPr>
          <w:lang w:eastAsia="en-GB"/>
        </w:rPr>
        <w:t>.</w:t>
      </w:r>
    </w:p>
    <w:p w14:paraId="0A39922F" w14:textId="44EFE233" w:rsidR="000A4CD2" w:rsidRDefault="000A4CD2" w:rsidP="000A4CD2">
      <w:pPr>
        <w:rPr>
          <w:lang w:eastAsia="en-GB"/>
        </w:rPr>
      </w:pPr>
      <w:r w:rsidRPr="000A4CD2">
        <w:rPr>
          <w:lang w:eastAsia="en-GB"/>
        </w:rPr>
        <w:t>Multiple surveys, particularly in the absence of a well</w:t>
      </w:r>
      <w:r w:rsidR="00FF7749">
        <w:rPr>
          <w:lang w:eastAsia="en-GB"/>
        </w:rPr>
        <w:t>-</w:t>
      </w:r>
      <w:r w:rsidRPr="000A4CD2">
        <w:rPr>
          <w:lang w:eastAsia="en-GB"/>
        </w:rPr>
        <w:t>organised national indicator framework, lead inevitably to a duplication of effort. We came across an example in Bangladesh. Between 2013 and 2019</w:t>
      </w:r>
      <w:r w:rsidR="00FF7749">
        <w:rPr>
          <w:lang w:eastAsia="en-GB"/>
        </w:rPr>
        <w:t>,</w:t>
      </w:r>
      <w:r w:rsidRPr="000A4CD2">
        <w:rPr>
          <w:lang w:eastAsia="en-GB"/>
        </w:rPr>
        <w:t xml:space="preserve"> six surveys and two administrative systems collected data for SDG indicator 3.1.2 </w:t>
      </w:r>
      <w:r w:rsidR="00FF7749">
        <w:rPr>
          <w:lang w:eastAsia="en-GB"/>
        </w:rPr>
        <w:t>–</w:t>
      </w:r>
      <w:r w:rsidRPr="000A4CD2">
        <w:rPr>
          <w:lang w:eastAsia="en-GB"/>
        </w:rPr>
        <w:t xml:space="preserve"> the proportion of births attended by skilled health personnel. The observed results ranged </w:t>
      </w:r>
      <w:r w:rsidR="00FF7749">
        <w:rPr>
          <w:lang w:eastAsia="en-GB"/>
        </w:rPr>
        <w:t>from</w:t>
      </w:r>
      <w:r w:rsidRPr="000A4CD2">
        <w:rPr>
          <w:lang w:eastAsia="en-GB"/>
        </w:rPr>
        <w:t xml:space="preserve"> 32% </w:t>
      </w:r>
      <w:r w:rsidR="00FF7749">
        <w:rPr>
          <w:lang w:eastAsia="en-GB"/>
        </w:rPr>
        <w:t>to</w:t>
      </w:r>
      <w:r w:rsidR="00FF7749" w:rsidRPr="000A4CD2">
        <w:rPr>
          <w:lang w:eastAsia="en-GB"/>
        </w:rPr>
        <w:t xml:space="preserve"> </w:t>
      </w:r>
      <w:r w:rsidRPr="000A4CD2">
        <w:rPr>
          <w:lang w:eastAsia="en-GB"/>
        </w:rPr>
        <w:t>85% (</w:t>
      </w:r>
      <w:r w:rsidR="00FF7749">
        <w:rPr>
          <w:lang w:eastAsia="en-GB"/>
        </w:rPr>
        <w:t>s</w:t>
      </w:r>
      <w:r w:rsidRPr="000A4CD2">
        <w:rPr>
          <w:lang w:eastAsia="en-GB"/>
        </w:rPr>
        <w:t xml:space="preserve">ee </w:t>
      </w:r>
      <w:r w:rsidR="00184F81">
        <w:rPr>
          <w:lang w:eastAsia="en-GB"/>
        </w:rPr>
        <w:t xml:space="preserve">Table 3 in the </w:t>
      </w:r>
      <w:r w:rsidRPr="000A4CD2">
        <w:rPr>
          <w:lang w:eastAsia="en-GB"/>
        </w:rPr>
        <w:t>Appendix)</w:t>
      </w:r>
      <w:r w:rsidR="002B5FDD">
        <w:rPr>
          <w:lang w:eastAsia="en-GB"/>
        </w:rPr>
        <w:t>.</w:t>
      </w:r>
    </w:p>
    <w:p w14:paraId="4B2DB0D5" w14:textId="77777777" w:rsidR="00EA7A00" w:rsidRDefault="00EA7A00" w:rsidP="0045351C">
      <w:pPr>
        <w:pStyle w:val="Heading1"/>
        <w:rPr>
          <w:rFonts w:ascii="Times New Roman" w:hAnsi="Times New Roman"/>
          <w:color w:val="auto"/>
          <w:szCs w:val="48"/>
        </w:rPr>
      </w:pPr>
      <w:bookmarkStart w:id="10" w:name="_Toc94984926"/>
      <w:r>
        <w:lastRenderedPageBreak/>
        <w:t>Duplicating administrative systems</w:t>
      </w:r>
      <w:bookmarkEnd w:id="10"/>
    </w:p>
    <w:p w14:paraId="32E5CBC6" w14:textId="63F7EE00" w:rsidR="00EA7A00" w:rsidRDefault="00EA7A00" w:rsidP="00EA7A00">
      <w:r>
        <w:t xml:space="preserve">The development of registries and management information systems are in their early stages in most </w:t>
      </w:r>
      <w:r w:rsidR="00422C28">
        <w:t>low- and middle-income countries</w:t>
      </w:r>
      <w:r w:rsidR="00FF7749">
        <w:t>,</w:t>
      </w:r>
      <w:r>
        <w:t xml:space="preserve"> yet here there is </w:t>
      </w:r>
      <w:r w:rsidR="00FD321F">
        <w:t xml:space="preserve">also </w:t>
      </w:r>
      <w:r>
        <w:t>widespread duplication of effort.</w:t>
      </w:r>
    </w:p>
    <w:p w14:paraId="049A0CBB" w14:textId="2AAD3D74" w:rsidR="00EA7A00" w:rsidRPr="00EA7A00" w:rsidRDefault="00EA7A00" w:rsidP="00EA7A00">
      <w:r>
        <w:t>In Bangladesh the main Health Management Information System is DHIS2</w:t>
      </w:r>
      <w:r>
        <w:rPr>
          <w:rStyle w:val="EndnoteReference"/>
        </w:rPr>
        <w:endnoteReference w:id="39"/>
      </w:r>
      <w:r>
        <w:t xml:space="preserve"> </w:t>
      </w:r>
      <w:r w:rsidR="00FD321F">
        <w:t xml:space="preserve">and </w:t>
      </w:r>
      <w:r w:rsidR="002356CB">
        <w:t>t</w:t>
      </w:r>
      <w:r>
        <w:t xml:space="preserve">he Ministry of Health and Family Welfare also maintains a Family Planning Management Information System (FPMIS). Large amounts of data in </w:t>
      </w:r>
      <w:r w:rsidR="00FD321F">
        <w:t>the two systems</w:t>
      </w:r>
      <w:r>
        <w:t xml:space="preserve"> are the same. USAID was instrumental in establishing FPIMS and remains its principal funder</w:t>
      </w:r>
      <w:r w:rsidR="00FD321F">
        <w:t>;</w:t>
      </w:r>
      <w:r>
        <w:t xml:space="preserve"> UNICEF is the principal </w:t>
      </w:r>
      <w:r w:rsidRPr="00EA7A00">
        <w:t xml:space="preserve">funder of DHIS2. The Directorate General of Health Services manages one system, and the Directorate General of Family Planning manages the other. Each system does collect some unique data, which is of use to the other </w:t>
      </w:r>
      <w:r w:rsidR="00FD321F">
        <w:t>d</w:t>
      </w:r>
      <w:r w:rsidRPr="00EA7A00">
        <w:t>irectorate, but data is not regularly or systematically shared between the two systems. In short, the systems overlap but are not interoperable.</w:t>
      </w:r>
      <w:r>
        <w:rPr>
          <w:rStyle w:val="EndnoteReference"/>
        </w:rPr>
        <w:endnoteReference w:id="40"/>
      </w:r>
      <w:r w:rsidRPr="00EA7A00">
        <w:t xml:space="preserve"> </w:t>
      </w:r>
      <w:r w:rsidR="002356CB">
        <w:t>These s</w:t>
      </w:r>
      <w:r w:rsidR="002E0C4D">
        <w:t xml:space="preserve">ystems </w:t>
      </w:r>
      <w:r w:rsidR="002356CB">
        <w:t xml:space="preserve">have been </w:t>
      </w:r>
      <w:r w:rsidR="002E0C4D">
        <w:t xml:space="preserve">developed in line with different donor priorities, </w:t>
      </w:r>
      <w:r w:rsidR="00790A29">
        <w:t>which</w:t>
      </w:r>
      <w:r w:rsidR="002E0C4D">
        <w:t xml:space="preserve"> </w:t>
      </w:r>
      <w:r w:rsidR="002356CB">
        <w:t xml:space="preserve">has </w:t>
      </w:r>
      <w:r w:rsidRPr="00EA7A00">
        <w:t>creat</w:t>
      </w:r>
      <w:r w:rsidR="002E0C4D">
        <w:t>e</w:t>
      </w:r>
      <w:r w:rsidR="002356CB">
        <w:t>d</w:t>
      </w:r>
      <w:r w:rsidRPr="00EA7A00">
        <w:t xml:space="preserve"> tensions </w:t>
      </w:r>
      <w:r w:rsidR="002356CB">
        <w:t xml:space="preserve">between two </w:t>
      </w:r>
      <w:r w:rsidRPr="00EA7A00">
        <w:t>internal</w:t>
      </w:r>
      <w:r w:rsidR="002356CB">
        <w:t xml:space="preserve"> departments</w:t>
      </w:r>
      <w:r w:rsidRPr="00EA7A00">
        <w:t>.</w:t>
      </w:r>
    </w:p>
    <w:p w14:paraId="24E7279E" w14:textId="32CBE82A" w:rsidR="00EA7A00" w:rsidRPr="00EA7A00" w:rsidRDefault="00EA7A00" w:rsidP="00EA7A00">
      <w:pPr>
        <w:rPr>
          <w:rFonts w:ascii="Times New Roman" w:eastAsia="Times New Roman" w:hAnsi="Times New Roman" w:cs="Times New Roman"/>
          <w:color w:val="auto"/>
          <w:sz w:val="24"/>
          <w:szCs w:val="24"/>
          <w:lang w:eastAsia="en-GB"/>
        </w:rPr>
      </w:pPr>
      <w:r w:rsidRPr="00EA7A00">
        <w:rPr>
          <w:rFonts w:eastAsia="Times New Roman"/>
          <w:lang w:eastAsia="en-GB"/>
        </w:rPr>
        <w:t>In Nepal the Building Information Platform Against Disaster</w:t>
      </w:r>
      <w:r>
        <w:rPr>
          <w:rStyle w:val="EndnoteReference"/>
          <w:rFonts w:eastAsia="Times New Roman"/>
          <w:lang w:eastAsia="en-GB"/>
        </w:rPr>
        <w:endnoteReference w:id="41"/>
      </w:r>
      <w:r w:rsidRPr="00EA7A00">
        <w:rPr>
          <w:rFonts w:eastAsia="Times New Roman"/>
          <w:lang w:eastAsia="en-GB"/>
        </w:rPr>
        <w:t xml:space="preserve"> was developed with donor funding despite </w:t>
      </w:r>
      <w:r w:rsidR="002E0C4D">
        <w:rPr>
          <w:rFonts w:eastAsia="Times New Roman"/>
          <w:lang w:eastAsia="en-GB"/>
        </w:rPr>
        <w:t>the</w:t>
      </w:r>
      <w:r w:rsidRPr="00EA7A00">
        <w:rPr>
          <w:rFonts w:eastAsia="Times New Roman"/>
          <w:lang w:eastAsia="en-GB"/>
        </w:rPr>
        <w:t xml:space="preserve"> </w:t>
      </w:r>
      <w:r w:rsidR="00790A29">
        <w:rPr>
          <w:rFonts w:eastAsia="Times New Roman"/>
          <w:lang w:eastAsia="en-GB"/>
        </w:rPr>
        <w:t xml:space="preserve">existing </w:t>
      </w:r>
      <w:r w:rsidRPr="00EA7A00">
        <w:rPr>
          <w:rFonts w:eastAsia="Times New Roman"/>
          <w:lang w:eastAsia="en-GB"/>
        </w:rPr>
        <w:t>Disaster Risk Reduction Portal</w:t>
      </w:r>
      <w:r>
        <w:rPr>
          <w:rStyle w:val="EndnoteReference"/>
          <w:rFonts w:eastAsia="Times New Roman"/>
          <w:lang w:eastAsia="en-GB"/>
        </w:rPr>
        <w:endnoteReference w:id="42"/>
      </w:r>
      <w:r w:rsidRPr="00EA7A00">
        <w:rPr>
          <w:rFonts w:eastAsia="Times New Roman"/>
          <w:lang w:eastAsia="en-GB"/>
        </w:rPr>
        <w:t xml:space="preserve"> producing timely data throughout the country’s police infrastructure.</w:t>
      </w:r>
    </w:p>
    <w:p w14:paraId="52E7AF64" w14:textId="3CDF852B" w:rsidR="00EA7A00" w:rsidRPr="00EA7A00" w:rsidRDefault="00EA7A00" w:rsidP="00EA7A00">
      <w:pPr>
        <w:rPr>
          <w:rFonts w:ascii="Times New Roman" w:eastAsia="Times New Roman" w:hAnsi="Times New Roman" w:cs="Times New Roman"/>
          <w:color w:val="auto"/>
          <w:sz w:val="24"/>
          <w:szCs w:val="24"/>
          <w:lang w:eastAsia="en-GB"/>
        </w:rPr>
      </w:pPr>
      <w:r w:rsidRPr="00EA7A00">
        <w:rPr>
          <w:rFonts w:eastAsia="Times New Roman"/>
          <w:lang w:eastAsia="en-GB"/>
        </w:rPr>
        <w:t>To manage health services for Rohingya refugees in Bangladesh a modified DHIS2 module was developed. Nevertheless, the World Health Organi</w:t>
      </w:r>
      <w:r w:rsidR="001032DC">
        <w:rPr>
          <w:rFonts w:eastAsia="Times New Roman"/>
          <w:lang w:eastAsia="en-GB"/>
        </w:rPr>
        <w:t>z</w:t>
      </w:r>
      <w:r w:rsidRPr="00EA7A00">
        <w:rPr>
          <w:rFonts w:eastAsia="Times New Roman"/>
          <w:lang w:eastAsia="en-GB"/>
        </w:rPr>
        <w:t>ation deployed its Early Warning, Alert and Response System (EWARS)</w:t>
      </w:r>
      <w:r w:rsidR="002E0C4D">
        <w:rPr>
          <w:rFonts w:eastAsia="Times New Roman"/>
          <w:lang w:eastAsia="en-GB"/>
        </w:rPr>
        <w:t>,</w:t>
      </w:r>
      <w:r w:rsidRPr="00EA7A00">
        <w:rPr>
          <w:rFonts w:eastAsia="Times New Roman"/>
          <w:lang w:eastAsia="en-GB"/>
        </w:rPr>
        <w:t xml:space="preserve"> which duplicates the DHIS2 data. In 2017 a study </w:t>
      </w:r>
      <w:r w:rsidR="001032DC">
        <w:rPr>
          <w:rFonts w:eastAsia="Times New Roman"/>
          <w:lang w:eastAsia="en-GB"/>
        </w:rPr>
        <w:t xml:space="preserve">led by the World Health Organization </w:t>
      </w:r>
      <w:r w:rsidRPr="00EA7A00">
        <w:rPr>
          <w:rFonts w:eastAsia="Times New Roman"/>
          <w:lang w:eastAsia="en-GB"/>
        </w:rPr>
        <w:t xml:space="preserve">recommended that DHIS2 is not suitable for humanitarian operations as it is dependent on national </w:t>
      </w:r>
      <w:r w:rsidR="00173418">
        <w:rPr>
          <w:rFonts w:eastAsia="Times New Roman"/>
          <w:lang w:eastAsia="en-GB"/>
        </w:rPr>
        <w:t>i</w:t>
      </w:r>
      <w:r w:rsidR="00173418" w:rsidRPr="00173418">
        <w:rPr>
          <w:rFonts w:eastAsia="Times New Roman"/>
          <w:lang w:eastAsia="en-GB"/>
        </w:rPr>
        <w:t xml:space="preserve">nformation and communications technology </w:t>
      </w:r>
      <w:r w:rsidR="00173418">
        <w:rPr>
          <w:rFonts w:eastAsia="Times New Roman"/>
          <w:lang w:eastAsia="en-GB"/>
        </w:rPr>
        <w:t>(</w:t>
      </w:r>
      <w:r w:rsidRPr="00EA7A00">
        <w:rPr>
          <w:rFonts w:eastAsia="Times New Roman"/>
          <w:lang w:eastAsia="en-GB"/>
        </w:rPr>
        <w:t>ICT</w:t>
      </w:r>
      <w:r w:rsidR="00173418">
        <w:rPr>
          <w:rFonts w:eastAsia="Times New Roman"/>
          <w:lang w:eastAsia="en-GB"/>
        </w:rPr>
        <w:t>)</w:t>
      </w:r>
      <w:r w:rsidRPr="00EA7A00">
        <w:rPr>
          <w:rFonts w:eastAsia="Times New Roman"/>
          <w:lang w:eastAsia="en-GB"/>
        </w:rPr>
        <w:t xml:space="preserve"> infrastructures and expertise.</w:t>
      </w:r>
      <w:r>
        <w:rPr>
          <w:rStyle w:val="EndnoteReference"/>
          <w:rFonts w:eastAsia="Times New Roman"/>
          <w:lang w:eastAsia="en-GB"/>
        </w:rPr>
        <w:endnoteReference w:id="43"/>
      </w:r>
      <w:r w:rsidRPr="00EA7A00">
        <w:rPr>
          <w:rFonts w:eastAsia="Times New Roman"/>
          <w:lang w:eastAsia="en-GB"/>
        </w:rPr>
        <w:t xml:space="preserve"> What the study failed to acknowledge that DHIS2 is already well established in many countries </w:t>
      </w:r>
      <w:r w:rsidR="006A626F" w:rsidRPr="006A626F">
        <w:rPr>
          <w:rFonts w:eastAsia="Times New Roman"/>
          <w:lang w:eastAsia="en-GB"/>
        </w:rPr>
        <w:t>in such circumstances humanitarians need to implement their commitments to strengthen the humanitarian-development nexus</w:t>
      </w:r>
      <w:r w:rsidR="00D83686">
        <w:rPr>
          <w:rFonts w:eastAsia="Times New Roman"/>
          <w:lang w:eastAsia="en-GB"/>
        </w:rPr>
        <w:t>.</w:t>
      </w:r>
      <w:r w:rsidR="00C434E9">
        <w:rPr>
          <w:rStyle w:val="EndnoteReference"/>
          <w:rFonts w:eastAsia="Times New Roman"/>
          <w:lang w:eastAsia="en-GB"/>
        </w:rPr>
        <w:endnoteReference w:id="44"/>
      </w:r>
    </w:p>
    <w:p w14:paraId="1B612D57" w14:textId="5E45DE53" w:rsidR="00EA7A00" w:rsidRDefault="00EA7A00" w:rsidP="00EA7A00">
      <w:pPr>
        <w:rPr>
          <w:rFonts w:eastAsia="Times New Roman"/>
          <w:lang w:eastAsia="en-GB"/>
        </w:rPr>
      </w:pPr>
      <w:r w:rsidRPr="00EA7A00">
        <w:rPr>
          <w:rFonts w:eastAsia="Times New Roman"/>
          <w:lang w:eastAsia="en-GB"/>
        </w:rPr>
        <w:t>A 2018 study focusing on the compilation of lists of health facilities in Nigeria</w:t>
      </w:r>
      <w:r w:rsidR="00C434E9">
        <w:rPr>
          <w:rStyle w:val="EndnoteReference"/>
          <w:rFonts w:eastAsia="Times New Roman"/>
          <w:lang w:eastAsia="en-GB"/>
        </w:rPr>
        <w:endnoteReference w:id="45"/>
      </w:r>
      <w:r w:rsidRPr="00EA7A00">
        <w:rPr>
          <w:rFonts w:eastAsia="Times New Roman"/>
          <w:lang w:eastAsia="en-GB"/>
        </w:rPr>
        <w:t xml:space="preserve"> found that, between 2011 and 2016, </w:t>
      </w:r>
      <w:r w:rsidR="00B46A92">
        <w:rPr>
          <w:rFonts w:eastAsia="Times New Roman"/>
          <w:lang w:eastAsia="en-GB"/>
        </w:rPr>
        <w:t>five</w:t>
      </w:r>
      <w:r w:rsidRPr="00EA7A00">
        <w:rPr>
          <w:rFonts w:eastAsia="Times New Roman"/>
          <w:lang w:eastAsia="en-GB"/>
        </w:rPr>
        <w:t xml:space="preserve"> donors</w:t>
      </w:r>
      <w:r w:rsidR="00C434E9">
        <w:rPr>
          <w:rStyle w:val="EndnoteReference"/>
          <w:rFonts w:eastAsia="Times New Roman"/>
          <w:lang w:eastAsia="en-GB"/>
        </w:rPr>
        <w:endnoteReference w:id="46"/>
      </w:r>
      <w:r w:rsidRPr="00EA7A00">
        <w:rPr>
          <w:rFonts w:eastAsia="Times New Roman"/>
          <w:lang w:eastAsia="en-GB"/>
        </w:rPr>
        <w:t xml:space="preserve"> funded 10 separate but similar exercises.</w:t>
      </w:r>
      <w:r w:rsidR="00C434E9">
        <w:rPr>
          <w:rStyle w:val="EndnoteReference"/>
          <w:rFonts w:eastAsia="Times New Roman"/>
          <w:lang w:eastAsia="en-GB"/>
        </w:rPr>
        <w:endnoteReference w:id="47"/>
      </w:r>
      <w:r w:rsidRPr="00EA7A00">
        <w:rPr>
          <w:rFonts w:eastAsia="Times New Roman"/>
          <w:lang w:eastAsia="en-GB"/>
        </w:rPr>
        <w:t xml:space="preserve"> The study concludes that:</w:t>
      </w:r>
    </w:p>
    <w:p w14:paraId="20FC2902" w14:textId="01DA1A1C" w:rsidR="00C434E9" w:rsidRDefault="003F47AC" w:rsidP="006A16BE">
      <w:pPr>
        <w:pStyle w:val="Quotetext"/>
        <w:rPr>
          <w:rFonts w:ascii="Times New Roman" w:hAnsi="Times New Roman"/>
          <w:color w:val="auto"/>
          <w:szCs w:val="15"/>
        </w:rPr>
      </w:pPr>
      <w:r>
        <w:t>“</w:t>
      </w:r>
      <w:r w:rsidR="00C434E9">
        <w:t>Though it is well documented that aid fragmentation and poor coordination deters aid effectiveness in recipient countries, evidence continues to show that donor commitment to better coordination are yet to be achieved. Our analysis of the health facility listing projects revealed that duplication of effort persists in Nigeria.</w:t>
      </w:r>
      <w:r>
        <w:t>”</w:t>
      </w:r>
    </w:p>
    <w:p w14:paraId="51E1D6FE" w14:textId="537E6CF1" w:rsidR="00C434E9" w:rsidRPr="00C434E9" w:rsidRDefault="00C434E9" w:rsidP="00516E20">
      <w:r w:rsidRPr="00C434E9">
        <w:lastRenderedPageBreak/>
        <w:t xml:space="preserve">In Uganda the Ministry of Gender, Labour and Social Development maintains several overlapping data systems, </w:t>
      </w:r>
      <w:r w:rsidR="000F2C22">
        <w:t>which present</w:t>
      </w:r>
      <w:r w:rsidR="00E516E0">
        <w:t>s</w:t>
      </w:r>
      <w:r w:rsidR="000F2C22">
        <w:t xml:space="preserve"> challenges in terms of </w:t>
      </w:r>
      <w:r w:rsidRPr="00C434E9">
        <w:t>coordination and management issues, lack of capacity, reporting and tracking of child protection statistical indicators, gender-based and child violence cases. It is not uncommon for the same data to be keyed into two different systems, each supported by a different donor.</w:t>
      </w:r>
      <w:r>
        <w:rPr>
          <w:rStyle w:val="EndnoteReference"/>
          <w:rFonts w:cs="Arial"/>
        </w:rPr>
        <w:endnoteReference w:id="48"/>
      </w:r>
    </w:p>
    <w:p w14:paraId="6001AB1C" w14:textId="27DB435F" w:rsidR="00C434E9" w:rsidRPr="00C434E9" w:rsidRDefault="00C434E9" w:rsidP="00516E20">
      <w:pPr>
        <w:rPr>
          <w:rFonts w:ascii="Times New Roman" w:eastAsia="Times New Roman" w:hAnsi="Times New Roman" w:cs="Times New Roman"/>
          <w:sz w:val="24"/>
          <w:szCs w:val="24"/>
          <w:lang w:eastAsia="en-GB"/>
        </w:rPr>
      </w:pPr>
      <w:r w:rsidRPr="00C434E9">
        <w:rPr>
          <w:rFonts w:eastAsia="Times New Roman"/>
          <w:lang w:eastAsia="en-GB"/>
        </w:rPr>
        <w:t xml:space="preserve">What happens when a </w:t>
      </w:r>
      <w:r w:rsidR="00DE0191">
        <w:rPr>
          <w:rFonts w:eastAsia="Times New Roman"/>
          <w:lang w:eastAsia="en-GB"/>
        </w:rPr>
        <w:t xml:space="preserve">new </w:t>
      </w:r>
      <w:r w:rsidR="00185E72">
        <w:rPr>
          <w:rFonts w:eastAsia="Times New Roman"/>
          <w:lang w:eastAsia="en-GB"/>
        </w:rPr>
        <w:t xml:space="preserve">system </w:t>
      </w:r>
      <w:r w:rsidR="00804688">
        <w:rPr>
          <w:rFonts w:eastAsia="Times New Roman"/>
          <w:lang w:eastAsia="en-GB"/>
        </w:rPr>
        <w:t>surpasses</w:t>
      </w:r>
      <w:r w:rsidR="00640BAF">
        <w:rPr>
          <w:rFonts w:eastAsia="Times New Roman"/>
          <w:lang w:eastAsia="en-GB"/>
        </w:rPr>
        <w:t xml:space="preserve"> an older one</w:t>
      </w:r>
      <w:r w:rsidRPr="00C434E9">
        <w:rPr>
          <w:rFonts w:eastAsia="Times New Roman"/>
          <w:lang w:eastAsia="en-GB"/>
        </w:rPr>
        <w:t xml:space="preserve">? </w:t>
      </w:r>
      <w:r w:rsidR="00896FCB">
        <w:rPr>
          <w:rFonts w:eastAsia="Times New Roman"/>
          <w:lang w:eastAsia="en-GB"/>
        </w:rPr>
        <w:t xml:space="preserve">The </w:t>
      </w:r>
      <w:r w:rsidRPr="00C434E9">
        <w:rPr>
          <w:rFonts w:eastAsia="Times New Roman"/>
          <w:lang w:eastAsia="en-GB"/>
        </w:rPr>
        <w:t>Child Protection Information System (CPIMS+) started life as a case management tool for field workers</w:t>
      </w:r>
      <w:r w:rsidR="00896FCB">
        <w:rPr>
          <w:rFonts w:eastAsia="Times New Roman"/>
          <w:lang w:eastAsia="en-GB"/>
        </w:rPr>
        <w:t>,</w:t>
      </w:r>
      <w:r w:rsidRPr="00C434E9">
        <w:rPr>
          <w:rFonts w:eastAsia="Times New Roman"/>
          <w:lang w:eastAsia="en-GB"/>
        </w:rPr>
        <w:t xml:space="preserve"> but </w:t>
      </w:r>
      <w:r w:rsidR="00896FCB">
        <w:rPr>
          <w:rFonts w:eastAsia="Times New Roman"/>
          <w:lang w:eastAsia="en-GB"/>
        </w:rPr>
        <w:t xml:space="preserve">it </w:t>
      </w:r>
      <w:r w:rsidRPr="00C434E9">
        <w:rPr>
          <w:rFonts w:eastAsia="Times New Roman"/>
          <w:lang w:eastAsia="en-GB"/>
        </w:rPr>
        <w:t xml:space="preserve">has in recent years grown in both robustness and usefulness and is being scaled up for national usage. In Nigeria it has overtaken the National OVC Management Information System (NOMIS). There is now significant overlap between CPMIS+ (funded by UNFPA and UNICEF) and </w:t>
      </w:r>
      <w:r w:rsidR="00896FCB" w:rsidRPr="00C434E9">
        <w:rPr>
          <w:rFonts w:eastAsia="Times New Roman"/>
          <w:lang w:eastAsia="en-GB"/>
        </w:rPr>
        <w:t>N</w:t>
      </w:r>
      <w:r w:rsidR="00896FCB">
        <w:rPr>
          <w:rFonts w:eastAsia="Times New Roman"/>
          <w:lang w:eastAsia="en-GB"/>
        </w:rPr>
        <w:t>OMIS</w:t>
      </w:r>
      <w:r w:rsidR="00896FCB" w:rsidRPr="00C434E9">
        <w:rPr>
          <w:rFonts w:eastAsia="Times New Roman"/>
          <w:lang w:eastAsia="en-GB"/>
        </w:rPr>
        <w:t xml:space="preserve"> </w:t>
      </w:r>
      <w:r w:rsidRPr="00C434E9">
        <w:rPr>
          <w:rFonts w:eastAsia="Times New Roman"/>
          <w:lang w:eastAsia="en-GB"/>
        </w:rPr>
        <w:t>(developed by Family Health International 360’s Global HIV/AIDS Initiative Nigeria with USAID support)</w:t>
      </w:r>
      <w:r w:rsidR="00896FCB">
        <w:rPr>
          <w:rFonts w:eastAsia="Times New Roman"/>
          <w:lang w:eastAsia="en-GB"/>
        </w:rPr>
        <w:t>.</w:t>
      </w:r>
      <w:r w:rsidRPr="00C434E9">
        <w:rPr>
          <w:rFonts w:eastAsia="Times New Roman"/>
          <w:lang w:eastAsia="en-GB"/>
        </w:rPr>
        <w:t xml:space="preserve"> </w:t>
      </w:r>
      <w:r w:rsidR="00896FCB">
        <w:rPr>
          <w:rFonts w:eastAsia="Times New Roman"/>
          <w:lang w:eastAsia="en-GB"/>
        </w:rPr>
        <w:t>B</w:t>
      </w:r>
      <w:r w:rsidRPr="00C434E9">
        <w:rPr>
          <w:rFonts w:eastAsia="Times New Roman"/>
          <w:lang w:eastAsia="en-GB"/>
        </w:rPr>
        <w:t>oth systems continue to operate</w:t>
      </w:r>
      <w:r w:rsidR="005570AC">
        <w:rPr>
          <w:rFonts w:eastAsia="Times New Roman"/>
          <w:lang w:eastAsia="en-GB"/>
        </w:rPr>
        <w:t xml:space="preserve"> </w:t>
      </w:r>
      <w:r w:rsidR="003A7530">
        <w:rPr>
          <w:rFonts w:eastAsia="Times New Roman"/>
          <w:lang w:eastAsia="en-GB"/>
        </w:rPr>
        <w:t xml:space="preserve">rather than </w:t>
      </w:r>
      <w:r w:rsidRPr="00C434E9">
        <w:rPr>
          <w:rFonts w:eastAsia="Times New Roman"/>
          <w:lang w:eastAsia="en-GB"/>
        </w:rPr>
        <w:t>seek</w:t>
      </w:r>
      <w:r w:rsidR="003A7530">
        <w:rPr>
          <w:rFonts w:eastAsia="Times New Roman"/>
          <w:lang w:eastAsia="en-GB"/>
        </w:rPr>
        <w:t>ing</w:t>
      </w:r>
      <w:r w:rsidRPr="00C434E9">
        <w:rPr>
          <w:rFonts w:eastAsia="Times New Roman"/>
          <w:lang w:eastAsia="en-GB"/>
        </w:rPr>
        <w:t xml:space="preserve"> a complementary solution to this duplication.</w:t>
      </w:r>
    </w:p>
    <w:p w14:paraId="3B0E2D09" w14:textId="5D42882D" w:rsidR="00C434E9" w:rsidRPr="00C434E9" w:rsidRDefault="00C434E9" w:rsidP="00516E20">
      <w:pPr>
        <w:rPr>
          <w:rFonts w:ascii="Times New Roman" w:eastAsia="Times New Roman" w:hAnsi="Times New Roman" w:cs="Times New Roman"/>
          <w:sz w:val="24"/>
          <w:szCs w:val="24"/>
          <w:lang w:eastAsia="en-GB"/>
        </w:rPr>
      </w:pPr>
      <w:r w:rsidRPr="00C434E9">
        <w:rPr>
          <w:rFonts w:eastAsia="Times New Roman"/>
          <w:lang w:eastAsia="en-GB"/>
        </w:rPr>
        <w:t>In 2019 D</w:t>
      </w:r>
      <w:r w:rsidR="00E8003A">
        <w:rPr>
          <w:rFonts w:eastAsia="Times New Roman"/>
          <w:lang w:eastAsia="en-GB"/>
        </w:rPr>
        <w:t xml:space="preserve">evelopment </w:t>
      </w:r>
      <w:r w:rsidRPr="00C434E9">
        <w:rPr>
          <w:rFonts w:eastAsia="Times New Roman"/>
          <w:lang w:eastAsia="en-GB"/>
        </w:rPr>
        <w:t>I</w:t>
      </w:r>
      <w:r w:rsidR="00E8003A">
        <w:rPr>
          <w:rFonts w:eastAsia="Times New Roman"/>
          <w:lang w:eastAsia="en-GB"/>
        </w:rPr>
        <w:t>nitiatives</w:t>
      </w:r>
      <w:r w:rsidRPr="00C434E9">
        <w:rPr>
          <w:rFonts w:eastAsia="Times New Roman"/>
          <w:lang w:eastAsia="en-GB"/>
        </w:rPr>
        <w:t xml:space="preserve"> conducted a study on the proliferation of systems involved in the validation of cash transfer beneficiaries in Somalia. It found that the politics of ownership and control over access to data prevented collaborative efforts by humanitarian agencies to harmonise data systems and that the lack of a common stance among donors led to uncoordinated efforts. Paradoxically the study found that the fear of the potential disruptions that the process of improving harmonisation might cause to current operations was a key reason for blocking a joined-up, sustainable solution.</w:t>
      </w:r>
      <w:r>
        <w:rPr>
          <w:rStyle w:val="EndnoteReference"/>
          <w:rFonts w:eastAsia="Times New Roman" w:cs="Arial"/>
          <w:lang w:eastAsia="en-GB"/>
        </w:rPr>
        <w:endnoteReference w:id="49"/>
      </w:r>
    </w:p>
    <w:p w14:paraId="29E28046" w14:textId="30AE2F95" w:rsidR="00C434E9" w:rsidRDefault="00C434E9" w:rsidP="00516E20">
      <w:pPr>
        <w:rPr>
          <w:rFonts w:eastAsia="Times New Roman"/>
          <w:lang w:eastAsia="en-GB"/>
        </w:rPr>
      </w:pPr>
      <w:r w:rsidRPr="00C434E9">
        <w:rPr>
          <w:rFonts w:eastAsia="Times New Roman"/>
          <w:lang w:eastAsia="en-GB"/>
        </w:rPr>
        <w:t xml:space="preserve">In a </w:t>
      </w:r>
      <w:r w:rsidR="00FA5831">
        <w:rPr>
          <w:rFonts w:eastAsia="Times New Roman"/>
          <w:lang w:eastAsia="en-GB"/>
        </w:rPr>
        <w:t xml:space="preserve">2021 </w:t>
      </w:r>
      <w:r w:rsidRPr="00C434E9">
        <w:rPr>
          <w:rFonts w:eastAsia="Times New Roman"/>
          <w:lang w:eastAsia="en-GB"/>
        </w:rPr>
        <w:t>paper, the OECD highlights the lack of harmonisation among an increasing number of development actors engaged in uncoordinated interventions</w:t>
      </w:r>
      <w:r w:rsidR="00FA5831">
        <w:rPr>
          <w:rFonts w:eastAsia="Times New Roman"/>
          <w:lang w:eastAsia="en-GB"/>
        </w:rPr>
        <w:t>:</w:t>
      </w:r>
    </w:p>
    <w:p w14:paraId="202E0E61" w14:textId="42AE440B" w:rsidR="00C434E9" w:rsidRPr="00C434E9" w:rsidRDefault="003F47AC" w:rsidP="006A16BE">
      <w:pPr>
        <w:pStyle w:val="Quotetext"/>
        <w:rPr>
          <w:rFonts w:ascii="Times New Roman" w:eastAsia="Times New Roman" w:hAnsi="Times New Roman" w:cs="Times New Roman"/>
          <w:color w:val="453F43" w:themeColor="background2"/>
          <w:sz w:val="24"/>
          <w:szCs w:val="24"/>
          <w:lang w:eastAsia="en-GB"/>
        </w:rPr>
      </w:pPr>
      <w:r>
        <w:t>“</w:t>
      </w:r>
      <w:r w:rsidR="00C434E9">
        <w:t>In Ethiopia, for example, we found that development partners were using 40 different indicators to measure SDG 7.1.1 on access to electricity. This made their data unharmonised, prevented further cooperation and left the Ethiopian government without a clear picture of how many households had access to electricity across the country.</w:t>
      </w:r>
      <w:r>
        <w:t>”</w:t>
      </w:r>
      <w:r w:rsidR="00C434E9">
        <w:rPr>
          <w:rStyle w:val="EndnoteReference"/>
        </w:rPr>
        <w:endnoteReference w:id="50"/>
      </w:r>
    </w:p>
    <w:p w14:paraId="532CF34F" w14:textId="7667FC96" w:rsidR="00C434E9" w:rsidRPr="00C434E9" w:rsidRDefault="00C434E9" w:rsidP="00C434E9">
      <w:pPr>
        <w:rPr>
          <w:rFonts w:ascii="Times New Roman" w:hAnsi="Times New Roman" w:cs="Times New Roman"/>
          <w:color w:val="auto"/>
          <w:sz w:val="24"/>
          <w:szCs w:val="24"/>
          <w:lang w:eastAsia="en-GB"/>
        </w:rPr>
      </w:pPr>
      <w:r w:rsidRPr="00C434E9">
        <w:rPr>
          <w:lang w:eastAsia="en-GB"/>
        </w:rPr>
        <w:t xml:space="preserve">This observation is not only </w:t>
      </w:r>
      <w:r w:rsidR="00FA5831">
        <w:rPr>
          <w:lang w:eastAsia="en-GB"/>
        </w:rPr>
        <w:t>disappoint</w:t>
      </w:r>
      <w:r w:rsidR="00610794">
        <w:rPr>
          <w:lang w:eastAsia="en-GB"/>
        </w:rPr>
        <w:t>ing</w:t>
      </w:r>
      <w:r w:rsidR="00FA5831">
        <w:rPr>
          <w:lang w:eastAsia="en-GB"/>
        </w:rPr>
        <w:t xml:space="preserve"> in terms of</w:t>
      </w:r>
      <w:r w:rsidRPr="00C434E9">
        <w:rPr>
          <w:lang w:eastAsia="en-GB"/>
        </w:rPr>
        <w:t xml:space="preserve"> the scale of fragmentation, but </w:t>
      </w:r>
      <w:r w:rsidR="00610794">
        <w:rPr>
          <w:lang w:eastAsia="en-GB"/>
        </w:rPr>
        <w:t>surprising in</w:t>
      </w:r>
      <w:r w:rsidRPr="00C434E9">
        <w:rPr>
          <w:lang w:eastAsia="en-GB"/>
        </w:rPr>
        <w:t xml:space="preserve"> that it assumes that SDG monitoring is the responsibility of development partners, rather than the government.</w:t>
      </w:r>
    </w:p>
    <w:p w14:paraId="42A09C50" w14:textId="1F1686ED" w:rsidR="00BA228D" w:rsidRDefault="00C434E9" w:rsidP="00C434E9">
      <w:pPr>
        <w:rPr>
          <w:lang w:eastAsia="en-GB"/>
        </w:rPr>
      </w:pPr>
      <w:r w:rsidRPr="00C434E9">
        <w:rPr>
          <w:lang w:eastAsia="en-GB"/>
        </w:rPr>
        <w:t>The latest Partner Report on Support to Statistics</w:t>
      </w:r>
      <w:r w:rsidR="00610794" w:rsidRPr="00610794">
        <w:rPr>
          <w:lang w:eastAsia="en-GB"/>
        </w:rPr>
        <w:t xml:space="preserve"> </w:t>
      </w:r>
      <w:r w:rsidR="00610794" w:rsidRPr="00C434E9">
        <w:rPr>
          <w:lang w:eastAsia="en-GB"/>
        </w:rPr>
        <w:t>highlights another aspect of fragmentation</w:t>
      </w:r>
      <w:r w:rsidR="005F0BEB">
        <w:rPr>
          <w:lang w:eastAsia="en-GB"/>
        </w:rPr>
        <w:t>.</w:t>
      </w:r>
      <w:r>
        <w:rPr>
          <w:rStyle w:val="EndnoteReference"/>
          <w:lang w:eastAsia="en-GB"/>
        </w:rPr>
        <w:endnoteReference w:id="51"/>
      </w:r>
      <w:r w:rsidRPr="00C434E9">
        <w:rPr>
          <w:lang w:eastAsia="en-GB"/>
        </w:rPr>
        <w:t xml:space="preserve"> An increasing proportion of support for data and statistics is being delivered as a partial element of broader programmes, rather than through dedicated projects. While this may be good for extending the breadth of data investments, the fact that the investment is tied to a broader objective makes it harder to influence its alignment to national objectives.</w:t>
      </w:r>
      <w:r w:rsidRPr="00C434E9">
        <w:t xml:space="preserve"> </w:t>
      </w:r>
      <w:r w:rsidRPr="00C434E9">
        <w:rPr>
          <w:lang w:eastAsia="en-GB"/>
        </w:rPr>
        <w:t>And while donors may attempt to ensure that their broader programmes do not duplicate effort</w:t>
      </w:r>
      <w:r w:rsidR="00610794">
        <w:rPr>
          <w:lang w:eastAsia="en-GB"/>
        </w:rPr>
        <w:t>,</w:t>
      </w:r>
      <w:r w:rsidRPr="00C434E9">
        <w:rPr>
          <w:lang w:eastAsia="en-GB"/>
        </w:rPr>
        <w:t xml:space="preserve"> there is unlikely to be coordinated scrutiny of components.</w:t>
      </w:r>
    </w:p>
    <w:p w14:paraId="3FC5DB25" w14:textId="77777777" w:rsidR="007D0422" w:rsidRDefault="007D0422" w:rsidP="0045351C">
      <w:pPr>
        <w:pStyle w:val="Heading1"/>
        <w:rPr>
          <w:rFonts w:ascii="Times New Roman" w:hAnsi="Times New Roman"/>
          <w:color w:val="auto"/>
          <w:szCs w:val="48"/>
        </w:rPr>
      </w:pPr>
      <w:bookmarkStart w:id="11" w:name="_Toc94984927"/>
      <w:r>
        <w:lastRenderedPageBreak/>
        <w:t>Maintaining parallel data universes</w:t>
      </w:r>
      <w:bookmarkEnd w:id="11"/>
    </w:p>
    <w:p w14:paraId="2475006C" w14:textId="279B4ABA" w:rsidR="007D0422" w:rsidRDefault="007D0422" w:rsidP="007D0422">
      <w:r>
        <w:t>Humanitarian agencies are often deployed into emergency situations at short notice. They need fast access to timely operational data</w:t>
      </w:r>
      <w:r w:rsidR="00610794">
        <w:t>,</w:t>
      </w:r>
      <w:r>
        <w:t xml:space="preserve"> which is often not available and so they establish their own data infrastructures. According to </w:t>
      </w:r>
      <w:r w:rsidR="00CA1DC0">
        <w:t xml:space="preserve">the </w:t>
      </w:r>
      <w:r>
        <w:t xml:space="preserve">UN </w:t>
      </w:r>
      <w:r w:rsidR="00B26058" w:rsidRPr="00B26058">
        <w:t>Office for the Coordination of Humanitarian Affairs</w:t>
      </w:r>
      <w:r w:rsidR="00B26058">
        <w:t xml:space="preserve"> (</w:t>
      </w:r>
      <w:r>
        <w:t>OCHA</w:t>
      </w:r>
      <w:r w:rsidR="00B26058">
        <w:t>)</w:t>
      </w:r>
      <w:r>
        <w:t xml:space="preserve"> the average humanitarian crisis now lasts more than nine years.</w:t>
      </w:r>
      <w:r w:rsidR="00EB6F78">
        <w:rPr>
          <w:rStyle w:val="EndnoteReference"/>
        </w:rPr>
        <w:endnoteReference w:id="52"/>
      </w:r>
      <w:r>
        <w:t xml:space="preserve"> The implications of the increasing duration of crises was recognised at the World Humanitarian Summit in 2016 by the Grand Bargain in its call for its signatories to: enhance engagement between humanitarian and development actors; support and complement national coordination mechanisms; and increase and support multi-year investment in the institutional capacities of local and national responders.</w:t>
      </w:r>
      <w:r w:rsidR="00EB6F78">
        <w:rPr>
          <w:rStyle w:val="EndnoteReference"/>
        </w:rPr>
        <w:endnoteReference w:id="53"/>
      </w:r>
      <w:r>
        <w:t xml:space="preserve"> The response to this call has been limited.</w:t>
      </w:r>
    </w:p>
    <w:p w14:paraId="379DEAE1" w14:textId="5448D927" w:rsidR="007D0422" w:rsidRDefault="007D0422" w:rsidP="007D0422">
      <w:r>
        <w:t>In Bangladesh we found that competition between UN agencies</w:t>
      </w:r>
      <w:r w:rsidR="00EB6F78">
        <w:rPr>
          <w:rStyle w:val="EndnoteReference"/>
        </w:rPr>
        <w:endnoteReference w:id="54"/>
      </w:r>
      <w:r>
        <w:t xml:space="preserve"> supporting the Rohingya refugees led to limited data sharing between agencies, let alone with the government.</w:t>
      </w:r>
      <w:r w:rsidR="00EB6F78">
        <w:rPr>
          <w:rStyle w:val="EndnoteReference"/>
        </w:rPr>
        <w:endnoteReference w:id="55"/>
      </w:r>
    </w:p>
    <w:p w14:paraId="404883B1" w14:textId="32C0C8DC" w:rsidR="007D0422" w:rsidRDefault="007D0422" w:rsidP="007D0422">
      <w:r>
        <w:t xml:space="preserve">In South Sudan we found a marked difference in the way that government officials perceive the data challenges facing </w:t>
      </w:r>
      <w:r w:rsidR="00CA1DC0">
        <w:t xml:space="preserve">the country </w:t>
      </w:r>
      <w:r>
        <w:t xml:space="preserve">and the perceptions of donors and humanitarian actors. Many humanitarian actors consider the government to be too weak to undertake most forms of data collection and analysis. Government officials, on the other hand, while acknowledging their </w:t>
      </w:r>
      <w:r w:rsidR="002E7D43">
        <w:t>limitations</w:t>
      </w:r>
      <w:r>
        <w:t xml:space="preserve">, believe that this is often used by humanitarians </w:t>
      </w:r>
      <w:r w:rsidR="00FB2E7A">
        <w:t xml:space="preserve">as justification </w:t>
      </w:r>
      <w:r>
        <w:t xml:space="preserve">to </w:t>
      </w:r>
      <w:r w:rsidR="00CA1DC0">
        <w:t xml:space="preserve">circumvent </w:t>
      </w:r>
      <w:r>
        <w:t>the government on the implementation of key humanitarian and development programmes.</w:t>
      </w:r>
      <w:r w:rsidR="00EB6F78">
        <w:rPr>
          <w:rStyle w:val="EndnoteReference"/>
          <w:szCs w:val="13"/>
        </w:rPr>
        <w:endnoteReference w:id="56"/>
      </w:r>
    </w:p>
    <w:p w14:paraId="38F101DB" w14:textId="5235C174" w:rsidR="007D0422" w:rsidRDefault="007D0422" w:rsidP="007D0422">
      <w:r>
        <w:t>In many countries the UN Resident Coordinator’s Office has established a data working group to bring together its agencies to both share information and collaborate on data projects. In Nigeria we found that the group</w:t>
      </w:r>
      <w:r w:rsidR="003A7530">
        <w:t xml:space="preserve"> had not met </w:t>
      </w:r>
      <w:r w:rsidR="00387DCE">
        <w:rPr>
          <w:rFonts w:cs="Arial"/>
        </w:rPr>
        <w:t>−</w:t>
      </w:r>
      <w:r w:rsidR="003A7530">
        <w:t xml:space="preserve"> while </w:t>
      </w:r>
      <w:r w:rsidR="008E4592">
        <w:t>i</w:t>
      </w:r>
      <w:r>
        <w:t xml:space="preserve">n Bangladesh </w:t>
      </w:r>
      <w:r w:rsidR="004F31A3">
        <w:t>we observed meetings used to ‘show and tell’ work rather than</w:t>
      </w:r>
      <w:r w:rsidR="003A7530">
        <w:t xml:space="preserve"> to</w:t>
      </w:r>
      <w:r w:rsidR="004F31A3">
        <w:t xml:space="preserve"> </w:t>
      </w:r>
      <w:r>
        <w:t>collaborate.</w:t>
      </w:r>
      <w:r w:rsidR="00EB6F78">
        <w:rPr>
          <w:rStyle w:val="EndnoteReference"/>
        </w:rPr>
        <w:endnoteReference w:id="57"/>
      </w:r>
    </w:p>
    <w:p w14:paraId="4FEB61FA" w14:textId="77777777" w:rsidR="00516E20" w:rsidRDefault="00516E20">
      <w:pPr>
        <w:spacing w:before="0" w:line="240" w:lineRule="auto"/>
      </w:pPr>
      <w:r>
        <w:br w:type="page"/>
      </w:r>
    </w:p>
    <w:p w14:paraId="10E0FF42" w14:textId="648EFD99" w:rsidR="007D0422" w:rsidRDefault="007D0422" w:rsidP="007D0422">
      <w:r>
        <w:lastRenderedPageBreak/>
        <w:t>A 2019 study by the Conflict Sensitivity Resource Facility in South Sudan recommended that</w:t>
      </w:r>
      <w:r w:rsidR="004F31A3">
        <w:t>:</w:t>
      </w:r>
    </w:p>
    <w:p w14:paraId="629F6C88" w14:textId="1FA3DD07" w:rsidR="00EB6F78" w:rsidRPr="00137770" w:rsidRDefault="003F47AC" w:rsidP="008D7AE3">
      <w:pPr>
        <w:pStyle w:val="Quotetext"/>
        <w:rPr>
          <w:rFonts w:ascii="Times New Roman" w:hAnsi="Times New Roman"/>
          <w:szCs w:val="15"/>
        </w:rPr>
      </w:pPr>
      <w:r w:rsidRPr="00137770">
        <w:t>“…</w:t>
      </w:r>
      <w:r w:rsidR="00EB6F78" w:rsidRPr="00137770">
        <w:t>donors and agencies must understand, and where appropriate, work within South Sudanese systems, rather than ignoring or overriding them. The aid community needs to acknowledge that for many South Sudanese these local systems of accountability are legitimate, respected and understood, and that it is the international system that is alien and unintelligible.</w:t>
      </w:r>
      <w:r w:rsidRPr="00137770">
        <w:t>”</w:t>
      </w:r>
      <w:r w:rsidR="00EB6F78" w:rsidRPr="00137770">
        <w:rPr>
          <w:rStyle w:val="EndnoteReference"/>
          <w:rFonts w:cs="Arial"/>
          <w:b w:val="0"/>
          <w:bCs/>
          <w:i/>
          <w:iCs/>
        </w:rPr>
        <w:endnoteReference w:id="58"/>
      </w:r>
    </w:p>
    <w:p w14:paraId="6781076D" w14:textId="0BAB53D8" w:rsidR="00EB6F78" w:rsidRDefault="00EB6F78" w:rsidP="00EB6F78">
      <w:pPr>
        <w:rPr>
          <w:rFonts w:ascii="Times New Roman" w:hAnsi="Times New Roman"/>
          <w:color w:val="auto"/>
          <w:szCs w:val="24"/>
        </w:rPr>
      </w:pPr>
      <w:r>
        <w:t>In Somalia, a recent study of the role of donors and aid agencies in collecting data found that</w:t>
      </w:r>
      <w:r w:rsidR="003F47AC">
        <w:t>:</w:t>
      </w:r>
    </w:p>
    <w:p w14:paraId="5C06D81B" w14:textId="56A9EA16" w:rsidR="00EB6F78" w:rsidRPr="00137770" w:rsidRDefault="00EB6F78" w:rsidP="008D7AE3">
      <w:pPr>
        <w:pStyle w:val="Quotetext"/>
      </w:pPr>
      <w:r w:rsidRPr="00137770">
        <w:t>“the role of the state in defining the research agenda, monitoring existing data collection by international actors, and regulating knowledge production more broadly remains rudimentary” and concluded that “the current situation in which international aid agencies and consultancy firms dominate knowledge production without sharing the data with the wider Somali public is not sustainable.”</w:t>
      </w:r>
      <w:r w:rsidRPr="00137770">
        <w:rPr>
          <w:rStyle w:val="EndnoteReference"/>
          <w:rFonts w:cs="Arial"/>
          <w:b w:val="0"/>
          <w:bCs/>
          <w:i/>
          <w:iCs/>
        </w:rPr>
        <w:endnoteReference w:id="59"/>
      </w:r>
    </w:p>
    <w:p w14:paraId="4AB0B818" w14:textId="77777777" w:rsidR="00EB6F78" w:rsidRDefault="00EB6F78" w:rsidP="00EB6F78">
      <w:pPr>
        <w:rPr>
          <w:rFonts w:ascii="Times New Roman" w:hAnsi="Times New Roman"/>
          <w:color w:val="auto"/>
          <w:szCs w:val="24"/>
        </w:rPr>
      </w:pPr>
      <w:r>
        <w:t>A blunter view was expressed by an experienced policy adviser: </w:t>
      </w:r>
    </w:p>
    <w:p w14:paraId="78934157" w14:textId="1D0BB3FB" w:rsidR="00EB6F78" w:rsidRPr="00137770" w:rsidRDefault="003F47AC" w:rsidP="008D7AE3">
      <w:pPr>
        <w:pStyle w:val="Quotetext"/>
      </w:pPr>
      <w:r w:rsidRPr="00137770">
        <w:t>“</w:t>
      </w:r>
      <w:r w:rsidR="00EB6F78" w:rsidRPr="00137770">
        <w:t>The system holds back the emergence of national humanitarian organizations and national political agreements on humanitarian social contracts within crisis affected societies. The international bias in the system is, therefore, politically and personally offensive.</w:t>
      </w:r>
      <w:r w:rsidRPr="00137770">
        <w:t>”</w:t>
      </w:r>
      <w:r w:rsidR="00EB6F78" w:rsidRPr="00137770">
        <w:rPr>
          <w:rStyle w:val="EndnoteReference"/>
          <w:rFonts w:cs="Arial"/>
          <w:b w:val="0"/>
          <w:bCs/>
          <w:i/>
          <w:iCs/>
        </w:rPr>
        <w:endnoteReference w:id="60"/>
      </w:r>
    </w:p>
    <w:p w14:paraId="5D4B74F0" w14:textId="77777777" w:rsidR="00516E20" w:rsidRDefault="00516E20">
      <w:pPr>
        <w:spacing w:before="0" w:line="240" w:lineRule="auto"/>
        <w:rPr>
          <w:rFonts w:asciiTheme="majorHAnsi" w:eastAsiaTheme="majorEastAsia" w:hAnsiTheme="majorHAnsi" w:cstheme="majorBidi"/>
          <w:b/>
          <w:bCs/>
          <w:color w:val="008ACC" w:themeColor="text2"/>
          <w:sz w:val="60"/>
          <w:szCs w:val="32"/>
        </w:rPr>
      </w:pPr>
      <w:r>
        <w:br w:type="page"/>
      </w:r>
    </w:p>
    <w:p w14:paraId="2240FBCE" w14:textId="141AA57D" w:rsidR="001425D9" w:rsidRDefault="001425D9" w:rsidP="0045351C">
      <w:pPr>
        <w:pStyle w:val="Heading1"/>
        <w:rPr>
          <w:rFonts w:ascii="Times New Roman" w:hAnsi="Times New Roman"/>
          <w:color w:val="auto"/>
          <w:szCs w:val="48"/>
        </w:rPr>
      </w:pPr>
      <w:bookmarkStart w:id="12" w:name="_Toc94984928"/>
      <w:r>
        <w:lastRenderedPageBreak/>
        <w:t>Funding decisions</w:t>
      </w:r>
      <w:bookmarkEnd w:id="12"/>
    </w:p>
    <w:p w14:paraId="22FC4522" w14:textId="366C7FC2" w:rsidR="00C434E9" w:rsidRPr="001425D9" w:rsidRDefault="001425D9" w:rsidP="001425D9">
      <w:r w:rsidRPr="001425D9">
        <w:t xml:space="preserve">Tracking how donors fund data infrastructures is a complicated business as there is no agreement as to what is or isn’t included in the ‘sector’ and how it is coded. The fact that the World Bank’s </w:t>
      </w:r>
      <w:r w:rsidRPr="0034006C">
        <w:rPr>
          <w:szCs w:val="20"/>
        </w:rPr>
        <w:t xml:space="preserve">first fund, the Trust Fund for </w:t>
      </w:r>
      <w:r w:rsidRPr="009C07E6">
        <w:rPr>
          <w:szCs w:val="20"/>
        </w:rPr>
        <w:t>Statistical</w:t>
      </w:r>
      <w:r w:rsidRPr="00616BE9">
        <w:rPr>
          <w:b/>
          <w:bCs/>
          <w:szCs w:val="20"/>
        </w:rPr>
        <w:t xml:space="preserve"> </w:t>
      </w:r>
      <w:r w:rsidRPr="0034006C">
        <w:rPr>
          <w:szCs w:val="20"/>
        </w:rPr>
        <w:t xml:space="preserve">Capacity Building </w:t>
      </w:r>
      <w:r w:rsidRPr="00616BE9">
        <w:rPr>
          <w:rFonts w:cs="Arial"/>
          <w:szCs w:val="20"/>
        </w:rPr>
        <w:t>(TFSCB)</w:t>
      </w:r>
      <w:r w:rsidR="0034006C" w:rsidRPr="00616BE9">
        <w:rPr>
          <w:rFonts w:cs="Arial"/>
          <w:szCs w:val="20"/>
        </w:rPr>
        <w:t>,</w:t>
      </w:r>
      <w:r w:rsidRPr="0034006C">
        <w:rPr>
          <w:rStyle w:val="EndnoteReference"/>
          <w:rFonts w:cs="Arial"/>
          <w:szCs w:val="20"/>
        </w:rPr>
        <w:endnoteReference w:id="61"/>
      </w:r>
      <w:r w:rsidRPr="00616BE9">
        <w:rPr>
          <w:rFonts w:cs="Arial"/>
          <w:szCs w:val="20"/>
        </w:rPr>
        <w:t xml:space="preserve"> </w:t>
      </w:r>
      <w:r w:rsidR="0034006C" w:rsidRPr="0034006C">
        <w:rPr>
          <w:szCs w:val="20"/>
        </w:rPr>
        <w:t xml:space="preserve">established in 1999, </w:t>
      </w:r>
      <w:r w:rsidR="00256859">
        <w:rPr>
          <w:rFonts w:cs="Arial"/>
          <w:szCs w:val="20"/>
        </w:rPr>
        <w:t>w</w:t>
      </w:r>
      <w:r w:rsidRPr="00616BE9">
        <w:rPr>
          <w:rFonts w:cs="Arial"/>
          <w:szCs w:val="20"/>
        </w:rPr>
        <w:t xml:space="preserve">as in 2021 replaced by a renamed Global </w:t>
      </w:r>
      <w:r w:rsidRPr="009C07E6">
        <w:rPr>
          <w:rFonts w:cs="Arial"/>
          <w:szCs w:val="20"/>
        </w:rPr>
        <w:t>Data</w:t>
      </w:r>
      <w:r w:rsidRPr="00616BE9">
        <w:rPr>
          <w:rFonts w:cs="Arial"/>
          <w:b/>
          <w:bCs/>
          <w:szCs w:val="20"/>
        </w:rPr>
        <w:t xml:space="preserve"> </w:t>
      </w:r>
      <w:r w:rsidRPr="00616BE9">
        <w:rPr>
          <w:rFonts w:cs="Arial"/>
          <w:szCs w:val="20"/>
        </w:rPr>
        <w:t>Facility (GDF)</w:t>
      </w:r>
      <w:r w:rsidRPr="0034006C">
        <w:rPr>
          <w:rStyle w:val="EndnoteReference"/>
          <w:rFonts w:cs="Arial"/>
          <w:szCs w:val="20"/>
        </w:rPr>
        <w:endnoteReference w:id="62"/>
      </w:r>
      <w:r w:rsidRPr="00616BE9">
        <w:rPr>
          <w:rFonts w:cs="Arial"/>
          <w:szCs w:val="20"/>
        </w:rPr>
        <w:t xml:space="preserve"> is indicative of the changing scope.</w:t>
      </w:r>
    </w:p>
    <w:p w14:paraId="595CBD88" w14:textId="4B9272C5" w:rsidR="001425D9" w:rsidRPr="001425D9" w:rsidRDefault="001425D9" w:rsidP="001425D9">
      <w:pPr>
        <w:rPr>
          <w:rFonts w:ascii="Times New Roman" w:hAnsi="Times New Roman" w:cs="Times New Roman"/>
          <w:color w:val="auto"/>
          <w:sz w:val="24"/>
          <w:szCs w:val="24"/>
          <w:lang w:eastAsia="en-GB"/>
        </w:rPr>
      </w:pPr>
      <w:r w:rsidRPr="001425D9">
        <w:rPr>
          <w:lang w:eastAsia="en-GB"/>
        </w:rPr>
        <w:t xml:space="preserve">Not too long ago, before the </w:t>
      </w:r>
      <w:r w:rsidR="00C42D4C">
        <w:rPr>
          <w:lang w:eastAsia="en-GB"/>
        </w:rPr>
        <w:t>‘</w:t>
      </w:r>
      <w:r w:rsidRPr="001425D9">
        <w:rPr>
          <w:lang w:eastAsia="en-GB"/>
        </w:rPr>
        <w:t>data revolution</w:t>
      </w:r>
      <w:r w:rsidR="00C42D4C">
        <w:rPr>
          <w:lang w:eastAsia="en-GB"/>
        </w:rPr>
        <w:t>’</w:t>
      </w:r>
      <w:r w:rsidRPr="001425D9">
        <w:rPr>
          <w:lang w:eastAsia="en-GB"/>
        </w:rPr>
        <w:t xml:space="preserve">, official statistics and the national statistical system were solely the responsibility of a country’s national statistics office. Generally speaking, </w:t>
      </w:r>
      <w:r w:rsidR="00C42D4C" w:rsidRPr="001425D9">
        <w:rPr>
          <w:lang w:eastAsia="en-GB"/>
        </w:rPr>
        <w:t>national statistics office</w:t>
      </w:r>
      <w:r w:rsidRPr="001425D9">
        <w:rPr>
          <w:lang w:eastAsia="en-GB"/>
        </w:rPr>
        <w:t>s were then conservative institutions, responsible for macro-economic statistics and demographics. Censuses and surveys were their stock in trade. Financing of a single institution, with a single budget (met by a mix of domestic and international resources), was relatively easy to track.</w:t>
      </w:r>
    </w:p>
    <w:p w14:paraId="55DFE717" w14:textId="27DDE460" w:rsidR="001425D9" w:rsidRPr="001425D9" w:rsidRDefault="001425D9" w:rsidP="001425D9">
      <w:pPr>
        <w:rPr>
          <w:rFonts w:ascii="Times New Roman" w:hAnsi="Times New Roman" w:cs="Times New Roman"/>
          <w:color w:val="auto"/>
          <w:sz w:val="24"/>
          <w:szCs w:val="24"/>
          <w:lang w:eastAsia="en-GB"/>
        </w:rPr>
      </w:pPr>
      <w:r w:rsidRPr="001425D9">
        <w:rPr>
          <w:lang w:eastAsia="en-GB"/>
        </w:rPr>
        <w:t xml:space="preserve">This landscape is, however, in a state of rapid flux. Management information systems – central databases relying on localised data collection – now deliver civil registration; national identity; population, building and business registers; </w:t>
      </w:r>
      <w:r w:rsidR="00C42D4C">
        <w:rPr>
          <w:lang w:eastAsia="en-GB"/>
        </w:rPr>
        <w:t xml:space="preserve">and </w:t>
      </w:r>
      <w:r w:rsidRPr="001425D9">
        <w:rPr>
          <w:lang w:eastAsia="en-GB"/>
        </w:rPr>
        <w:t>health and education systems</w:t>
      </w:r>
      <w:r w:rsidR="00C42D4C">
        <w:rPr>
          <w:lang w:eastAsia="en-GB"/>
        </w:rPr>
        <w:t>,</w:t>
      </w:r>
      <w:r w:rsidRPr="001425D9">
        <w:rPr>
          <w:lang w:eastAsia="en-GB"/>
        </w:rPr>
        <w:t xml:space="preserve"> managing the data of both facilities and individuals. New technologies enable more rapid and responsive data collection, storage, analysis and distribution. But with this diversity and breadth comes an even bigger need for coordination and collaboration. </w:t>
      </w:r>
    </w:p>
    <w:p w14:paraId="09B151A6" w14:textId="028F4B63" w:rsidR="001425D9" w:rsidRPr="001425D9" w:rsidRDefault="001425D9" w:rsidP="001425D9">
      <w:pPr>
        <w:rPr>
          <w:rFonts w:ascii="Times New Roman" w:hAnsi="Times New Roman" w:cs="Times New Roman"/>
          <w:color w:val="auto"/>
          <w:sz w:val="24"/>
          <w:szCs w:val="24"/>
          <w:lang w:eastAsia="en-GB"/>
        </w:rPr>
      </w:pPr>
      <w:r w:rsidRPr="001425D9">
        <w:rPr>
          <w:lang w:eastAsia="en-GB"/>
        </w:rPr>
        <w:t xml:space="preserve">Most experts would agree that administrative data is the future. Yet it remains very difficult to accurately track and coordinate the investments being committed to these systems. The purpose codes maintained by the OECD Creditor Reporting System </w:t>
      </w:r>
      <w:r w:rsidR="00C42D4C">
        <w:rPr>
          <w:lang w:eastAsia="en-GB"/>
        </w:rPr>
        <w:t>–</w:t>
      </w:r>
      <w:r w:rsidRPr="001425D9">
        <w:rPr>
          <w:lang w:eastAsia="en-GB"/>
        </w:rPr>
        <w:t xml:space="preserve"> mirrored by the International Aid Transparency Initiative and used by PARIS21’s annual Partner Report on Support to Statistics (PRESS) </w:t>
      </w:r>
      <w:r w:rsidR="00C42D4C">
        <w:rPr>
          <w:lang w:eastAsia="en-GB"/>
        </w:rPr>
        <w:t>–</w:t>
      </w:r>
      <w:r w:rsidRPr="001425D9">
        <w:rPr>
          <w:lang w:eastAsia="en-GB"/>
        </w:rPr>
        <w:t xml:space="preserve"> allow for the classification of statistical capacity building but </w:t>
      </w:r>
      <w:r w:rsidR="00C42D4C">
        <w:rPr>
          <w:lang w:eastAsia="en-GB"/>
        </w:rPr>
        <w:t xml:space="preserve">not </w:t>
      </w:r>
      <w:r w:rsidRPr="001425D9">
        <w:rPr>
          <w:lang w:eastAsia="en-GB"/>
        </w:rPr>
        <w:t>for other data</w:t>
      </w:r>
      <w:r w:rsidR="00C42D4C">
        <w:rPr>
          <w:lang w:eastAsia="en-GB"/>
        </w:rPr>
        <w:t>-</w:t>
      </w:r>
      <w:r w:rsidRPr="001425D9">
        <w:rPr>
          <w:lang w:eastAsia="en-GB"/>
        </w:rPr>
        <w:t>specific investments.</w:t>
      </w:r>
    </w:p>
    <w:p w14:paraId="678422A4" w14:textId="5DD53A0F" w:rsidR="00541D83" w:rsidRDefault="001425D9" w:rsidP="001425D9">
      <w:pPr>
        <w:rPr>
          <w:lang w:eastAsia="en-GB"/>
        </w:rPr>
      </w:pPr>
      <w:r w:rsidRPr="001425D9">
        <w:rPr>
          <w:lang w:eastAsia="en-GB"/>
        </w:rPr>
        <w:t>For the first time, in the new Clearinghouse for Financing Development Data</w:t>
      </w:r>
      <w:r w:rsidR="00C42D4C">
        <w:rPr>
          <w:lang w:eastAsia="en-GB"/>
        </w:rPr>
        <w:t>,</w:t>
      </w:r>
      <w:r>
        <w:rPr>
          <w:rStyle w:val="EndnoteReference"/>
          <w:lang w:eastAsia="en-GB"/>
        </w:rPr>
        <w:endnoteReference w:id="63"/>
      </w:r>
      <w:r w:rsidRPr="001425D9">
        <w:rPr>
          <w:lang w:eastAsia="en-GB"/>
        </w:rPr>
        <w:t xml:space="preserve"> a serious attempt is being made to itemise line ministry planning and budgeting on administrative data</w:t>
      </w:r>
      <w:r w:rsidR="0037183E">
        <w:rPr>
          <w:lang w:eastAsia="en-GB"/>
        </w:rPr>
        <w:t xml:space="preserve"> (see Figure 1 for a snapshot)</w:t>
      </w:r>
      <w:r w:rsidRPr="001425D9">
        <w:rPr>
          <w:lang w:eastAsia="en-GB"/>
        </w:rPr>
        <w:t xml:space="preserve">. This methodology will take time to mature but </w:t>
      </w:r>
      <w:r w:rsidR="001D37CB">
        <w:rPr>
          <w:lang w:eastAsia="en-GB"/>
        </w:rPr>
        <w:t>it is positive</w:t>
      </w:r>
      <w:r w:rsidRPr="001425D9">
        <w:rPr>
          <w:lang w:eastAsia="en-GB"/>
        </w:rPr>
        <w:t xml:space="preserve"> </w:t>
      </w:r>
      <w:r w:rsidR="00776B07">
        <w:rPr>
          <w:lang w:eastAsia="en-GB"/>
        </w:rPr>
        <w:t xml:space="preserve">that </w:t>
      </w:r>
      <w:r w:rsidRPr="001425D9">
        <w:rPr>
          <w:lang w:eastAsia="en-GB"/>
        </w:rPr>
        <w:t>there is now a concerted effort to provide visibility of the entire official data landscape.</w:t>
      </w:r>
    </w:p>
    <w:p w14:paraId="4074A862" w14:textId="77777777" w:rsidR="00516E20" w:rsidRDefault="00516E20">
      <w:pPr>
        <w:spacing w:before="0" w:line="240" w:lineRule="auto"/>
        <w:rPr>
          <w:b/>
          <w:color w:val="008ACC" w:themeColor="text2"/>
          <w:szCs w:val="20"/>
        </w:rPr>
      </w:pPr>
      <w:r>
        <w:br w:type="page"/>
      </w:r>
    </w:p>
    <w:p w14:paraId="0107B83A" w14:textId="7884AA43" w:rsidR="001425D9" w:rsidRDefault="001425D9" w:rsidP="00BB033F">
      <w:pPr>
        <w:pStyle w:val="FigureTitle"/>
      </w:pPr>
      <w:r>
        <w:lastRenderedPageBreak/>
        <w:t>Figure 1: Snapshot of line ministry data needs</w:t>
      </w:r>
    </w:p>
    <w:tbl>
      <w:tblPr>
        <w:tblStyle w:val="DItable"/>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5387"/>
        <w:gridCol w:w="2540"/>
      </w:tblGrid>
      <w:tr w:rsidR="0055143A" w14:paraId="409EA1F5" w14:textId="77777777" w:rsidTr="00BB0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FFFFFF" w:themeFill="background1"/>
          </w:tcPr>
          <w:p w14:paraId="70F63AB1" w14:textId="77777777" w:rsidR="0055143A" w:rsidRPr="00D83686" w:rsidRDefault="0055143A" w:rsidP="008D7AE3">
            <w:pPr>
              <w:rPr>
                <w:b w:val="0"/>
                <w:bCs/>
                <w:color w:val="FFFFFF" w:themeColor="background1"/>
              </w:rPr>
            </w:pPr>
            <w:r w:rsidRPr="00D83686">
              <w:rPr>
                <w:b w:val="0"/>
                <w:bCs/>
              </w:rPr>
              <w:t>Ministry of Agriculture and Animal Resources</w:t>
            </w:r>
          </w:p>
        </w:tc>
        <w:tc>
          <w:tcPr>
            <w:tcW w:w="2540" w:type="dxa"/>
            <w:shd w:val="clear" w:color="auto" w:fill="FFFFFF" w:themeFill="background1"/>
          </w:tcPr>
          <w:p w14:paraId="620DA5CD" w14:textId="66269385" w:rsidR="0055143A" w:rsidRPr="008D7AE3" w:rsidRDefault="0055143A" w:rsidP="008D7AE3">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8D7AE3" w14:paraId="2FB86F18" w14:textId="77777777" w:rsidTr="008D7AE3">
        <w:tc>
          <w:tcPr>
            <w:cnfStyle w:val="001000000000" w:firstRow="0" w:lastRow="0" w:firstColumn="1" w:lastColumn="0" w:oddVBand="0" w:evenVBand="0" w:oddHBand="0" w:evenHBand="0" w:firstRowFirstColumn="0" w:firstRowLastColumn="0" w:lastRowFirstColumn="0" w:lastRowLastColumn="0"/>
            <w:tcW w:w="5387" w:type="dxa"/>
          </w:tcPr>
          <w:p w14:paraId="20B810D8" w14:textId="77D61D4F" w:rsidR="008D7AE3" w:rsidRPr="008D7AE3" w:rsidRDefault="008D7AE3" w:rsidP="008D7AE3">
            <w:pPr>
              <w:rPr>
                <w:sz w:val="18"/>
                <w:szCs w:val="18"/>
              </w:rPr>
            </w:pPr>
            <w:r w:rsidRPr="008D7AE3">
              <w:rPr>
                <w:sz w:val="18"/>
                <w:szCs w:val="18"/>
              </w:rPr>
              <w:t>Detailed information</w:t>
            </w:r>
          </w:p>
        </w:tc>
        <w:tc>
          <w:tcPr>
            <w:tcW w:w="2540" w:type="dxa"/>
          </w:tcPr>
          <w:p w14:paraId="506AE3F8" w14:textId="77777777"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rPr>
            </w:pPr>
          </w:p>
        </w:tc>
      </w:tr>
      <w:tr w:rsidR="008D7AE3" w14:paraId="62B5DA3B" w14:textId="77777777" w:rsidTr="008D7AE3">
        <w:tc>
          <w:tcPr>
            <w:cnfStyle w:val="001000000000" w:firstRow="0" w:lastRow="0" w:firstColumn="1" w:lastColumn="0" w:oddVBand="0" w:evenVBand="0" w:oddHBand="0" w:evenHBand="0" w:firstRowFirstColumn="0" w:firstRowLastColumn="0" w:lastRowFirstColumn="0" w:lastRowLastColumn="0"/>
            <w:tcW w:w="5387" w:type="dxa"/>
          </w:tcPr>
          <w:p w14:paraId="518AC8EE" w14:textId="26363427" w:rsidR="008D7AE3" w:rsidRPr="008D7AE3" w:rsidRDefault="008D7AE3" w:rsidP="008D7AE3">
            <w:pPr>
              <w:rPr>
                <w:b/>
                <w:bCs/>
                <w:sz w:val="18"/>
                <w:szCs w:val="18"/>
              </w:rPr>
            </w:pPr>
            <w:r w:rsidRPr="008D7AE3">
              <w:rPr>
                <w:b/>
                <w:bCs/>
                <w:sz w:val="18"/>
                <w:szCs w:val="18"/>
              </w:rPr>
              <w:t>Projects</w:t>
            </w:r>
          </w:p>
        </w:tc>
        <w:tc>
          <w:tcPr>
            <w:tcW w:w="2540" w:type="dxa"/>
          </w:tcPr>
          <w:p w14:paraId="544B2ACD" w14:textId="77777777"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rPr>
            </w:pPr>
          </w:p>
        </w:tc>
      </w:tr>
      <w:tr w:rsidR="008D7AE3" w:rsidRPr="008D7AE3" w14:paraId="1415A12F" w14:textId="77777777" w:rsidTr="008D7AE3">
        <w:tc>
          <w:tcPr>
            <w:cnfStyle w:val="001000000000" w:firstRow="0" w:lastRow="0" w:firstColumn="1" w:lastColumn="0" w:oddVBand="0" w:evenVBand="0" w:oddHBand="0" w:evenHBand="0" w:firstRowFirstColumn="0" w:firstRowLastColumn="0" w:lastRowFirstColumn="0" w:lastRowLastColumn="0"/>
            <w:tcW w:w="5387" w:type="dxa"/>
            <w:shd w:val="clear" w:color="auto" w:fill="FFFFFF" w:themeFill="background1"/>
          </w:tcPr>
          <w:p w14:paraId="7581E884" w14:textId="7E7FB3CD" w:rsidR="008D7AE3" w:rsidRPr="008D7AE3" w:rsidRDefault="008D7AE3" w:rsidP="008D7AE3">
            <w:pPr>
              <w:rPr>
                <w:sz w:val="18"/>
                <w:szCs w:val="18"/>
                <w:lang w:val="fr-FR"/>
              </w:rPr>
            </w:pPr>
            <w:r w:rsidRPr="008D7AE3">
              <w:rPr>
                <w:rFonts w:cs="Arial"/>
                <w:sz w:val="18"/>
                <w:szCs w:val="18"/>
                <w:lang w:val="fr-FR"/>
              </w:rPr>
              <w:t>► Agriculture Management Information System (AMIS)</w:t>
            </w:r>
          </w:p>
        </w:tc>
        <w:tc>
          <w:tcPr>
            <w:tcW w:w="2540" w:type="dxa"/>
            <w:shd w:val="clear" w:color="auto" w:fill="FFFFFF" w:themeFill="background1"/>
          </w:tcPr>
          <w:p w14:paraId="13C1FD0D" w14:textId="33F1B774"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lang w:val="fr-FR"/>
              </w:rPr>
            </w:pPr>
            <w:r w:rsidRPr="008D7AE3">
              <w:rPr>
                <w:sz w:val="18"/>
                <w:szCs w:val="18"/>
                <w:lang w:val="fr-FR"/>
              </w:rPr>
              <w:t>Project timeline: 2018</w:t>
            </w:r>
            <w:r w:rsidRPr="008D7AE3">
              <w:rPr>
                <w:rFonts w:cs="Arial"/>
                <w:sz w:val="18"/>
                <w:szCs w:val="18"/>
                <w:lang w:val="fr-FR"/>
              </w:rPr>
              <w:t>−</w:t>
            </w:r>
            <w:r w:rsidRPr="008D7AE3">
              <w:rPr>
                <w:sz w:val="18"/>
                <w:szCs w:val="18"/>
                <w:lang w:val="fr-FR"/>
              </w:rPr>
              <w:t>2024</w:t>
            </w:r>
          </w:p>
        </w:tc>
      </w:tr>
      <w:tr w:rsidR="008D7AE3" w:rsidRPr="008D7AE3" w14:paraId="150D1043" w14:textId="77777777" w:rsidTr="008D7AE3">
        <w:tc>
          <w:tcPr>
            <w:cnfStyle w:val="001000000000" w:firstRow="0" w:lastRow="0" w:firstColumn="1" w:lastColumn="0" w:oddVBand="0" w:evenVBand="0" w:oddHBand="0" w:evenHBand="0" w:firstRowFirstColumn="0" w:firstRowLastColumn="0" w:lastRowFirstColumn="0" w:lastRowLastColumn="0"/>
            <w:tcW w:w="5387" w:type="dxa"/>
          </w:tcPr>
          <w:p w14:paraId="1CD54A2A" w14:textId="0887269A" w:rsidR="008D7AE3" w:rsidRPr="008D7AE3" w:rsidRDefault="008D7AE3" w:rsidP="008D7AE3">
            <w:pPr>
              <w:rPr>
                <w:sz w:val="18"/>
                <w:szCs w:val="18"/>
              </w:rPr>
            </w:pPr>
            <w:r w:rsidRPr="008D7AE3">
              <w:rPr>
                <w:rFonts w:cs="Arial"/>
                <w:sz w:val="18"/>
                <w:szCs w:val="18"/>
              </w:rPr>
              <w:t>► Agriculture Commoditied Market price Information System (eSoko)</w:t>
            </w:r>
          </w:p>
        </w:tc>
        <w:tc>
          <w:tcPr>
            <w:tcW w:w="2540" w:type="dxa"/>
          </w:tcPr>
          <w:p w14:paraId="3D8AE8AD" w14:textId="621C6D10"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rPr>
            </w:pPr>
            <w:r w:rsidRPr="008D7AE3">
              <w:rPr>
                <w:sz w:val="18"/>
                <w:szCs w:val="18"/>
                <w:lang w:val="fr-FR"/>
              </w:rPr>
              <w:t>Project timeline: 2019</w:t>
            </w:r>
            <w:r w:rsidRPr="008D7AE3">
              <w:rPr>
                <w:rFonts w:cs="Arial"/>
                <w:sz w:val="18"/>
                <w:szCs w:val="18"/>
                <w:lang w:val="fr-FR"/>
              </w:rPr>
              <w:t>−</w:t>
            </w:r>
            <w:r w:rsidRPr="008D7AE3">
              <w:rPr>
                <w:sz w:val="18"/>
                <w:szCs w:val="18"/>
                <w:lang w:val="fr-FR"/>
              </w:rPr>
              <w:t>2024</w:t>
            </w:r>
          </w:p>
        </w:tc>
      </w:tr>
      <w:tr w:rsidR="008D7AE3" w:rsidRPr="008D7AE3" w14:paraId="133A994C" w14:textId="77777777" w:rsidTr="008D7AE3">
        <w:tc>
          <w:tcPr>
            <w:cnfStyle w:val="001000000000" w:firstRow="0" w:lastRow="0" w:firstColumn="1" w:lastColumn="0" w:oddVBand="0" w:evenVBand="0" w:oddHBand="0" w:evenHBand="0" w:firstRowFirstColumn="0" w:firstRowLastColumn="0" w:lastRowFirstColumn="0" w:lastRowLastColumn="0"/>
            <w:tcW w:w="5387" w:type="dxa"/>
          </w:tcPr>
          <w:p w14:paraId="3135A4E5" w14:textId="26FE723B" w:rsidR="008D7AE3" w:rsidRPr="008D7AE3" w:rsidRDefault="008D7AE3" w:rsidP="008D7AE3">
            <w:pPr>
              <w:rPr>
                <w:sz w:val="18"/>
                <w:szCs w:val="18"/>
              </w:rPr>
            </w:pPr>
            <w:r w:rsidRPr="008D7AE3">
              <w:rPr>
                <w:rFonts w:cs="Arial"/>
                <w:sz w:val="18"/>
                <w:szCs w:val="18"/>
              </w:rPr>
              <w:t>► Comprehensive Food Security and Vulnerability and Nutrition Analysis Survey (CFSVA)</w:t>
            </w:r>
          </w:p>
        </w:tc>
        <w:tc>
          <w:tcPr>
            <w:tcW w:w="2540" w:type="dxa"/>
          </w:tcPr>
          <w:p w14:paraId="7203B4C3" w14:textId="0602EE77"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rPr>
            </w:pPr>
            <w:r w:rsidRPr="008D7AE3">
              <w:rPr>
                <w:sz w:val="18"/>
                <w:szCs w:val="18"/>
                <w:lang w:val="fr-FR"/>
              </w:rPr>
              <w:t>Project timeline: 2018</w:t>
            </w:r>
            <w:r w:rsidRPr="008D7AE3">
              <w:rPr>
                <w:rFonts w:cs="Arial"/>
                <w:sz w:val="18"/>
                <w:szCs w:val="18"/>
                <w:lang w:val="fr-FR"/>
              </w:rPr>
              <w:t>−</w:t>
            </w:r>
            <w:r w:rsidRPr="008D7AE3">
              <w:rPr>
                <w:sz w:val="18"/>
                <w:szCs w:val="18"/>
                <w:lang w:val="fr-FR"/>
              </w:rPr>
              <w:t>2021</w:t>
            </w:r>
          </w:p>
        </w:tc>
      </w:tr>
      <w:tr w:rsidR="008D7AE3" w:rsidRPr="008D7AE3" w14:paraId="3E72A491" w14:textId="77777777" w:rsidTr="008D7AE3">
        <w:tc>
          <w:tcPr>
            <w:cnfStyle w:val="001000000000" w:firstRow="0" w:lastRow="0" w:firstColumn="1" w:lastColumn="0" w:oddVBand="0" w:evenVBand="0" w:oddHBand="0" w:evenHBand="0" w:firstRowFirstColumn="0" w:firstRowLastColumn="0" w:lastRowFirstColumn="0" w:lastRowLastColumn="0"/>
            <w:tcW w:w="5387" w:type="dxa"/>
          </w:tcPr>
          <w:p w14:paraId="4A17C735" w14:textId="6D1A5A13" w:rsidR="008D7AE3" w:rsidRPr="008D7AE3" w:rsidRDefault="008D7AE3" w:rsidP="008D7AE3">
            <w:pPr>
              <w:rPr>
                <w:sz w:val="18"/>
                <w:szCs w:val="18"/>
              </w:rPr>
            </w:pPr>
            <w:r w:rsidRPr="008D7AE3">
              <w:rPr>
                <w:rFonts w:cs="Arial"/>
                <w:sz w:val="18"/>
                <w:szCs w:val="18"/>
              </w:rPr>
              <w:t>► Women’s Empowerment in Agriculture Index (WEAI)</w:t>
            </w:r>
          </w:p>
        </w:tc>
        <w:tc>
          <w:tcPr>
            <w:tcW w:w="2540" w:type="dxa"/>
          </w:tcPr>
          <w:p w14:paraId="0D422ADA" w14:textId="4FE990FA" w:rsidR="008D7AE3" w:rsidRPr="008D7AE3" w:rsidRDefault="008D7AE3" w:rsidP="008D7AE3">
            <w:pPr>
              <w:cnfStyle w:val="000000000000" w:firstRow="0" w:lastRow="0" w:firstColumn="0" w:lastColumn="0" w:oddVBand="0" w:evenVBand="0" w:oddHBand="0" w:evenHBand="0" w:firstRowFirstColumn="0" w:firstRowLastColumn="0" w:lastRowFirstColumn="0" w:lastRowLastColumn="0"/>
              <w:rPr>
                <w:sz w:val="18"/>
                <w:szCs w:val="18"/>
              </w:rPr>
            </w:pPr>
            <w:r w:rsidRPr="008D7AE3">
              <w:rPr>
                <w:sz w:val="18"/>
                <w:szCs w:val="18"/>
                <w:lang w:val="fr-FR"/>
              </w:rPr>
              <w:t>Project timeline: 2020</w:t>
            </w:r>
            <w:r w:rsidRPr="008D7AE3">
              <w:rPr>
                <w:rFonts w:cs="Arial"/>
                <w:sz w:val="18"/>
                <w:szCs w:val="18"/>
                <w:lang w:val="fr-FR"/>
              </w:rPr>
              <w:t>−</w:t>
            </w:r>
            <w:r w:rsidRPr="008D7AE3">
              <w:rPr>
                <w:sz w:val="18"/>
                <w:szCs w:val="18"/>
                <w:lang w:val="fr-FR"/>
              </w:rPr>
              <w:t>2022</w:t>
            </w:r>
          </w:p>
        </w:tc>
      </w:tr>
    </w:tbl>
    <w:p w14:paraId="3945F3D3" w14:textId="51269241" w:rsidR="00541D83" w:rsidRDefault="001425D9" w:rsidP="0025301F">
      <w:pPr>
        <w:pStyle w:val="Source"/>
      </w:pPr>
      <w:r>
        <w:t xml:space="preserve">Source: Clearinghouse </w:t>
      </w:r>
      <w:r w:rsidR="00A66895">
        <w:t>f</w:t>
      </w:r>
      <w:r>
        <w:t>or Financing Development Data</w:t>
      </w:r>
      <w:r w:rsidR="001D37CB">
        <w:t>,</w:t>
      </w:r>
      <w:r>
        <w:t xml:space="preserve"> </w:t>
      </w:r>
      <w:hyperlink r:id="rId9" w:history="1">
        <w:r w:rsidRPr="00BB033F">
          <w:rPr>
            <w:rStyle w:val="Hyperlink"/>
            <w:rFonts w:asciiTheme="minorHAnsi" w:hAnsiTheme="minorHAnsi"/>
            <w:color w:val="453F43" w:themeColor="background2"/>
          </w:rPr>
          <w:t>https://smartdatafinance.org/funding-opportunities</w:t>
        </w:r>
      </w:hyperlink>
    </w:p>
    <w:p w14:paraId="6C95055F" w14:textId="2DDFEC6A" w:rsidR="001425D9" w:rsidRPr="001425D9" w:rsidRDefault="001425D9" w:rsidP="001425D9">
      <w:pPr>
        <w:rPr>
          <w:rFonts w:ascii="Times New Roman" w:hAnsi="Times New Roman" w:cs="Times New Roman"/>
          <w:color w:val="auto"/>
          <w:sz w:val="24"/>
          <w:szCs w:val="24"/>
          <w:lang w:eastAsia="en-GB"/>
        </w:rPr>
      </w:pPr>
      <w:r w:rsidRPr="001425D9">
        <w:rPr>
          <w:lang w:eastAsia="en-GB"/>
        </w:rPr>
        <w:t>One of the suggested benefits of the Clearinghouse is the ability for donors to coordinate their activities through an understanding of what each other is funding. This is hardly a novel idea. For over two decades retrospective data has been available through the OECD.</w:t>
      </w:r>
      <w:r>
        <w:rPr>
          <w:rStyle w:val="EndnoteReference"/>
          <w:lang w:eastAsia="en-GB"/>
        </w:rPr>
        <w:endnoteReference w:id="64"/>
      </w:r>
      <w:r w:rsidRPr="001425D9">
        <w:rPr>
          <w:lang w:eastAsia="en-GB"/>
        </w:rPr>
        <w:t xml:space="preserve"> Nowadays most major donors publish details of current financing activities, no more than a few months </w:t>
      </w:r>
      <w:r w:rsidR="00776B07">
        <w:rPr>
          <w:lang w:eastAsia="en-GB"/>
        </w:rPr>
        <w:t>retrospectively</w:t>
      </w:r>
      <w:r w:rsidRPr="001425D9">
        <w:rPr>
          <w:lang w:eastAsia="en-GB"/>
        </w:rPr>
        <w:t>, through the International Aid Transparency Initiative</w:t>
      </w:r>
      <w:r w:rsidR="00DD5EA1">
        <w:rPr>
          <w:lang w:eastAsia="en-GB"/>
        </w:rPr>
        <w:t xml:space="preserve"> (IATI)</w:t>
      </w:r>
      <w:r w:rsidRPr="001425D9">
        <w:rPr>
          <w:lang w:eastAsia="en-GB"/>
        </w:rPr>
        <w:t>.</w:t>
      </w:r>
      <w:r w:rsidR="009E49A1">
        <w:rPr>
          <w:rStyle w:val="EndnoteReference"/>
          <w:lang w:eastAsia="en-GB"/>
        </w:rPr>
        <w:endnoteReference w:id="65"/>
      </w:r>
      <w:r w:rsidRPr="001425D9">
        <w:rPr>
          <w:lang w:eastAsia="en-GB"/>
        </w:rPr>
        <w:t xml:space="preserve"> And prior to IATI data reaching a critical mass some countries maintained their own Aid Information Management Systems. Yet visibility of each other’s activities appears to have had little impact on </w:t>
      </w:r>
      <w:r w:rsidR="00776B07">
        <w:rPr>
          <w:lang w:eastAsia="en-GB"/>
        </w:rPr>
        <w:t xml:space="preserve">coordination between </w:t>
      </w:r>
      <w:r w:rsidRPr="001425D9">
        <w:rPr>
          <w:lang w:eastAsia="en-GB"/>
        </w:rPr>
        <w:t>donors.</w:t>
      </w:r>
    </w:p>
    <w:p w14:paraId="2BFBF703" w14:textId="621ADB2E" w:rsidR="001425D9" w:rsidRPr="001425D9" w:rsidRDefault="001425D9" w:rsidP="001425D9">
      <w:pPr>
        <w:rPr>
          <w:rFonts w:ascii="Times New Roman" w:hAnsi="Times New Roman" w:cs="Times New Roman"/>
          <w:color w:val="auto"/>
          <w:sz w:val="24"/>
          <w:szCs w:val="24"/>
          <w:lang w:eastAsia="en-GB"/>
        </w:rPr>
      </w:pPr>
      <w:r w:rsidRPr="001425D9">
        <w:rPr>
          <w:lang w:eastAsia="en-GB"/>
        </w:rPr>
        <w:t>If the channelling of bilateral money through multilateral funds is thought to be a solution to a harmonious approach</w:t>
      </w:r>
      <w:r w:rsidR="00DD5EA1">
        <w:rPr>
          <w:lang w:eastAsia="en-GB"/>
        </w:rPr>
        <w:t>,</w:t>
      </w:r>
      <w:r w:rsidRPr="001425D9">
        <w:rPr>
          <w:lang w:eastAsia="en-GB"/>
        </w:rPr>
        <w:t xml:space="preserve"> the jury remains out. The new Global Data Facility is yet to receive pledges. Its predecessor, the TFSCB</w:t>
      </w:r>
      <w:r w:rsidR="002E75CB">
        <w:rPr>
          <w:lang w:eastAsia="en-GB"/>
        </w:rPr>
        <w:t>,</w:t>
      </w:r>
      <w:r w:rsidRPr="001425D9">
        <w:rPr>
          <w:lang w:eastAsia="en-GB"/>
        </w:rPr>
        <w:t xml:space="preserve"> failed to attract widespread support and was largely reliant on contributions from the UK. A 2017 report on the fund highlighted the dangers of reliance on a single source:</w:t>
      </w:r>
    </w:p>
    <w:p w14:paraId="6B16ECFF" w14:textId="77777777" w:rsidR="00394858" w:rsidRDefault="00394858">
      <w:pPr>
        <w:spacing w:before="0" w:line="240" w:lineRule="auto"/>
        <w:rPr>
          <w:b/>
          <w:color w:val="0072B2" w:themeColor="accent4"/>
          <w:sz w:val="22"/>
        </w:rPr>
      </w:pPr>
      <w:r>
        <w:br w:type="page"/>
      </w:r>
    </w:p>
    <w:p w14:paraId="4875181D" w14:textId="20D6CA2D" w:rsidR="009E49A1" w:rsidRPr="008D7AE3" w:rsidRDefault="009E49A1" w:rsidP="008D7AE3">
      <w:pPr>
        <w:pStyle w:val="Quotetext"/>
        <w:rPr>
          <w:rFonts w:ascii="Times New Roman" w:hAnsi="Times New Roman"/>
          <w:szCs w:val="15"/>
        </w:rPr>
      </w:pPr>
      <w:r w:rsidRPr="008D7AE3">
        <w:lastRenderedPageBreak/>
        <w:t>“As a case in point, the recent DFID contribution of $ 20 million was earmarked for data production in household surveys. While this purpose was certainly in alignment with World Bank concerns about the lack of respective data from low capacity countries, a situation could arise where DFID goals in this respect would not be completely in line with TFSCB funding objectives. Attached contributions by a major donor can carry the risk of changing the remit of the TFSCB from its original or core goals if this major donor is responsible for almost the entire TFSCB budget.”</w:t>
      </w:r>
      <w:r w:rsidRPr="008D7AE3">
        <w:rPr>
          <w:rStyle w:val="EndnoteReference"/>
          <w:rFonts w:cs="Arial"/>
          <w:b w:val="0"/>
          <w:bCs/>
          <w:i/>
          <w:iCs/>
        </w:rPr>
        <w:endnoteReference w:id="66"/>
      </w:r>
    </w:p>
    <w:p w14:paraId="1AFF5173" w14:textId="17A0A4E1" w:rsidR="001425D9" w:rsidRDefault="009E49A1" w:rsidP="009E49A1">
      <w:r>
        <w:t xml:space="preserve">The Global Data Facility will be governed by a </w:t>
      </w:r>
      <w:r w:rsidR="002E75CB">
        <w:t>p</w:t>
      </w:r>
      <w:r>
        <w:t xml:space="preserve">artnership </w:t>
      </w:r>
      <w:r w:rsidR="002E75CB">
        <w:t>c</w:t>
      </w:r>
      <w:r>
        <w:t xml:space="preserve">ouncil composed of representatives from the World Bank and each contributing donor. Other stakeholders may be invited to </w:t>
      </w:r>
      <w:r w:rsidR="002E75CB">
        <w:t>c</w:t>
      </w:r>
      <w:r>
        <w:t xml:space="preserve">ouncil meetings and to a </w:t>
      </w:r>
      <w:r w:rsidR="002E75CB">
        <w:t>t</w:t>
      </w:r>
      <w:r>
        <w:t xml:space="preserve">echnical </w:t>
      </w:r>
      <w:r w:rsidR="002E75CB">
        <w:t>a</w:t>
      </w:r>
      <w:r>
        <w:t xml:space="preserve">dvisory </w:t>
      </w:r>
      <w:r w:rsidR="002E75CB">
        <w:t>g</w:t>
      </w:r>
      <w:r>
        <w:t>roup,</w:t>
      </w:r>
      <w:r>
        <w:rPr>
          <w:rStyle w:val="EndnoteReference"/>
        </w:rPr>
        <w:endnoteReference w:id="67"/>
      </w:r>
      <w:r>
        <w:t xml:space="preserve"> but funding decisions </w:t>
      </w:r>
      <w:r w:rsidR="00CA33BA">
        <w:t>may</w:t>
      </w:r>
      <w:r>
        <w:t xml:space="preserve"> be </w:t>
      </w:r>
      <w:r w:rsidR="00D30A15">
        <w:t xml:space="preserve">led </w:t>
      </w:r>
      <w:r>
        <w:t>by bilateral council members’ competing interests rather than the priorities of their recipients.</w:t>
      </w:r>
    </w:p>
    <w:p w14:paraId="6C989294" w14:textId="77777777" w:rsidR="008D7AE3" w:rsidRDefault="008D7AE3">
      <w:pPr>
        <w:spacing w:before="0" w:line="240" w:lineRule="auto"/>
        <w:rPr>
          <w:rFonts w:asciiTheme="majorHAnsi" w:eastAsiaTheme="majorEastAsia" w:hAnsiTheme="majorHAnsi" w:cstheme="majorBidi"/>
          <w:b/>
          <w:bCs/>
          <w:color w:val="008ACC" w:themeColor="text2"/>
          <w:sz w:val="60"/>
          <w:szCs w:val="32"/>
        </w:rPr>
      </w:pPr>
      <w:bookmarkStart w:id="13" w:name="_Toc94984929"/>
      <w:r>
        <w:br w:type="page"/>
      </w:r>
    </w:p>
    <w:p w14:paraId="18EDCAFD" w14:textId="0B984B97" w:rsidR="009E49A1" w:rsidRDefault="009E49A1" w:rsidP="005621B5">
      <w:pPr>
        <w:pStyle w:val="Heading1"/>
        <w:rPr>
          <w:rFonts w:ascii="Times New Roman" w:hAnsi="Times New Roman"/>
          <w:color w:val="auto"/>
          <w:szCs w:val="48"/>
        </w:rPr>
      </w:pPr>
      <w:r>
        <w:lastRenderedPageBreak/>
        <w:t>Competing interests</w:t>
      </w:r>
      <w:bookmarkEnd w:id="13"/>
    </w:p>
    <w:p w14:paraId="2F9E02F6" w14:textId="03E30B5A" w:rsidR="009E49A1" w:rsidRDefault="009E49A1" w:rsidP="009E49A1">
      <w:r>
        <w:t>The Rome Declaration on Harmonisation commits donors to “ensuring that development assistance is delivered in accordance with partner country priorities”. Is this achievable? A study reviewing the first five years of the aid effectiveness agenda observed that “the failure of donors to keep the promises made in the Paris Declaration arguably reflects the complex political economy of the international aid system.”</w:t>
      </w:r>
      <w:r>
        <w:rPr>
          <w:rStyle w:val="EndnoteReference"/>
        </w:rPr>
        <w:endnoteReference w:id="68"/>
      </w:r>
    </w:p>
    <w:p w14:paraId="4F9873C0" w14:textId="77777777" w:rsidR="009E49A1" w:rsidRDefault="009E49A1" w:rsidP="009E49A1">
      <w:pPr>
        <w:rPr>
          <w:rFonts w:ascii="Times New Roman" w:hAnsi="Times New Roman"/>
          <w:color w:val="auto"/>
          <w:szCs w:val="24"/>
        </w:rPr>
      </w:pPr>
      <w:r>
        <w:t>The US Agency for International Development has this priority:</w:t>
      </w:r>
    </w:p>
    <w:p w14:paraId="38371B64" w14:textId="391191C7" w:rsidR="009E49A1" w:rsidRPr="008D7AE3" w:rsidRDefault="003F47AC" w:rsidP="008D7AE3">
      <w:pPr>
        <w:pStyle w:val="Quotetext"/>
      </w:pPr>
      <w:r w:rsidRPr="008D7AE3">
        <w:t>“</w:t>
      </w:r>
      <w:r w:rsidR="009E49A1" w:rsidRPr="008D7AE3">
        <w:t>USAID development policy supports the objectives of the National Security Strategy and other strategic documents, such as the Department of State-USAID Joint Strategic Plan, that aim to strengthen our diplomatic and development capabilities to better meet our foreign policy goals.</w:t>
      </w:r>
      <w:r w:rsidRPr="008D7AE3">
        <w:t>”</w:t>
      </w:r>
      <w:r w:rsidR="009E49A1" w:rsidRPr="008D7AE3">
        <w:rPr>
          <w:rStyle w:val="EndnoteReference"/>
          <w:rFonts w:cs="Arial"/>
          <w:b w:val="0"/>
          <w:bCs/>
          <w:i/>
          <w:iCs/>
        </w:rPr>
        <w:endnoteReference w:id="69"/>
      </w:r>
    </w:p>
    <w:p w14:paraId="4F2F4291" w14:textId="77777777" w:rsidR="009E49A1" w:rsidRDefault="009E49A1" w:rsidP="009E49A1">
      <w:pPr>
        <w:rPr>
          <w:rFonts w:ascii="Times New Roman" w:hAnsi="Times New Roman"/>
          <w:color w:val="auto"/>
          <w:szCs w:val="24"/>
        </w:rPr>
      </w:pPr>
      <w:r>
        <w:t>The UK Foreign Commonwealth and Development Office (FCDO) operates within this strategy:</w:t>
      </w:r>
    </w:p>
    <w:p w14:paraId="63198299" w14:textId="63BA96A1" w:rsidR="009E49A1" w:rsidRPr="008D7AE3" w:rsidRDefault="003F47AC" w:rsidP="008D7AE3">
      <w:pPr>
        <w:pStyle w:val="Quotetext"/>
      </w:pPr>
      <w:r w:rsidRPr="008D7AE3">
        <w:t>“</w:t>
      </w:r>
      <w:r w:rsidR="009E49A1" w:rsidRPr="008D7AE3">
        <w:t>ODA is a vital, essential, and absolutely indispensable element of [the Integrated Review] strategic approach. But, to maximise its effectiveness, it must be used in combination with our development policy expertise, our security deployments and support abroad.</w:t>
      </w:r>
      <w:r w:rsidRPr="008D7AE3">
        <w:t>”</w:t>
      </w:r>
      <w:r w:rsidR="009E49A1" w:rsidRPr="008D7AE3">
        <w:rPr>
          <w:rStyle w:val="EndnoteReference"/>
          <w:rFonts w:cs="Arial"/>
          <w:b w:val="0"/>
          <w:bCs/>
          <w:i/>
          <w:iCs/>
        </w:rPr>
        <w:endnoteReference w:id="70"/>
      </w:r>
    </w:p>
    <w:p w14:paraId="64B42430" w14:textId="77777777" w:rsidR="009E49A1" w:rsidRDefault="009E49A1" w:rsidP="009E49A1">
      <w:r>
        <w:t>According to a recent study: </w:t>
      </w:r>
    </w:p>
    <w:p w14:paraId="6DDD21E6" w14:textId="6B31817B" w:rsidR="009E49A1" w:rsidRDefault="003F47AC" w:rsidP="006A16BE">
      <w:pPr>
        <w:pStyle w:val="Quotetext"/>
      </w:pPr>
      <w:r>
        <w:t>“</w:t>
      </w:r>
      <w:r w:rsidR="009E49A1">
        <w:t>Concerns have also been raised that with humanitarian and development concerns more explicitly intertwined with UK national interest in the new FCDO there will be even less political incentive to ceding power to “other” (local) actors.</w:t>
      </w:r>
      <w:r>
        <w:t>”</w:t>
      </w:r>
      <w:r w:rsidR="009E49A1">
        <w:rPr>
          <w:rStyle w:val="EndnoteReference"/>
        </w:rPr>
        <w:endnoteReference w:id="71"/>
      </w:r>
    </w:p>
    <w:p w14:paraId="36FD5336" w14:textId="561AB3EE" w:rsidR="009E49A1" w:rsidRDefault="009E49A1" w:rsidP="009E49A1">
      <w:r>
        <w:t>A programme of the UK Office of National Statistics aimed at modernising official statistics in Africa</w:t>
      </w:r>
      <w:r>
        <w:rPr>
          <w:rStyle w:val="EndnoteReference"/>
        </w:rPr>
        <w:endnoteReference w:id="72"/>
      </w:r>
      <w:r>
        <w:t xml:space="preserve"> includes in its aims “establishing international influence for HMG priorities”.</w:t>
      </w:r>
      <w:r>
        <w:rPr>
          <w:rStyle w:val="EndnoteReference"/>
        </w:rPr>
        <w:endnoteReference w:id="73"/>
      </w:r>
    </w:p>
    <w:p w14:paraId="3CF7E5BB" w14:textId="6929060C" w:rsidR="003D39D8" w:rsidRPr="003D39D8" w:rsidRDefault="003D39D8" w:rsidP="003D39D8">
      <w:pPr>
        <w:rPr>
          <w:rFonts w:ascii="Times New Roman" w:hAnsi="Times New Roman" w:cs="Times New Roman"/>
          <w:color w:val="auto"/>
          <w:sz w:val="24"/>
          <w:szCs w:val="24"/>
          <w:lang w:eastAsia="en-GB"/>
        </w:rPr>
      </w:pPr>
      <w:r w:rsidRPr="003D39D8">
        <w:rPr>
          <w:lang w:eastAsia="en-GB"/>
        </w:rPr>
        <w:lastRenderedPageBreak/>
        <w:t>The World Bank does not have geopolitical interests</w:t>
      </w:r>
      <w:r w:rsidR="008D1FCB">
        <w:rPr>
          <w:lang w:eastAsia="en-GB"/>
        </w:rPr>
        <w:t>,</w:t>
      </w:r>
      <w:r w:rsidRPr="003D39D8">
        <w:rPr>
          <w:lang w:eastAsia="en-GB"/>
        </w:rPr>
        <w:t xml:space="preserve"> but it does have a firm opinion on delivering its own “proven solutions that integrate the WBG's development knowledge and financial services.”</w:t>
      </w:r>
      <w:r>
        <w:rPr>
          <w:rStyle w:val="EndnoteReference"/>
          <w:lang w:eastAsia="en-GB"/>
        </w:rPr>
        <w:endnoteReference w:id="74"/>
      </w:r>
      <w:r w:rsidRPr="003D39D8">
        <w:rPr>
          <w:lang w:eastAsia="en-GB"/>
        </w:rPr>
        <w:t xml:space="preserve"> </w:t>
      </w:r>
    </w:p>
    <w:p w14:paraId="0D351426" w14:textId="2F3288D8" w:rsidR="003D39D8" w:rsidRDefault="003D39D8" w:rsidP="003D39D8">
      <w:pPr>
        <w:rPr>
          <w:lang w:eastAsia="en-GB"/>
        </w:rPr>
      </w:pPr>
      <w:r w:rsidRPr="003D39D8">
        <w:rPr>
          <w:lang w:eastAsia="en-GB"/>
        </w:rPr>
        <w:t xml:space="preserve">In other words, donors have very clear ideas on what they seek to deliver. </w:t>
      </w:r>
      <w:r w:rsidR="008D1FCB">
        <w:rPr>
          <w:lang w:eastAsia="en-GB"/>
        </w:rPr>
        <w:t>But</w:t>
      </w:r>
      <w:r w:rsidRPr="003D39D8">
        <w:rPr>
          <w:lang w:eastAsia="en-GB"/>
        </w:rPr>
        <w:t xml:space="preserve"> their approaches </w:t>
      </w:r>
      <w:r w:rsidR="008D1FCB">
        <w:rPr>
          <w:lang w:eastAsia="en-GB"/>
        </w:rPr>
        <w:t>need to be</w:t>
      </w:r>
      <w:r w:rsidR="008D1FCB" w:rsidRPr="003D39D8">
        <w:rPr>
          <w:lang w:eastAsia="en-GB"/>
        </w:rPr>
        <w:t xml:space="preserve"> </w:t>
      </w:r>
      <w:r w:rsidRPr="003D39D8">
        <w:rPr>
          <w:lang w:eastAsia="en-GB"/>
        </w:rPr>
        <w:t>flexible to different country priorities</w:t>
      </w:r>
      <w:r w:rsidR="008D1FCB">
        <w:rPr>
          <w:lang w:eastAsia="en-GB"/>
        </w:rPr>
        <w:t xml:space="preserve"> and they need to </w:t>
      </w:r>
      <w:r w:rsidR="0088027A">
        <w:rPr>
          <w:lang w:eastAsia="en-GB"/>
        </w:rPr>
        <w:t>listen to their recipients</w:t>
      </w:r>
      <w:r w:rsidR="00B92245">
        <w:rPr>
          <w:lang w:eastAsia="en-GB"/>
        </w:rPr>
        <w:t>, rather than the other way round</w:t>
      </w:r>
      <w:r w:rsidRPr="003D39D8">
        <w:rPr>
          <w:lang w:eastAsia="en-GB"/>
        </w:rPr>
        <w:t xml:space="preserve">. </w:t>
      </w:r>
    </w:p>
    <w:p w14:paraId="54CDC0D1" w14:textId="77777777" w:rsidR="00516E20" w:rsidRDefault="00516E20">
      <w:pPr>
        <w:spacing w:before="0" w:line="240" w:lineRule="auto"/>
        <w:rPr>
          <w:rFonts w:asciiTheme="majorHAnsi" w:eastAsiaTheme="majorEastAsia" w:hAnsiTheme="majorHAnsi" w:cstheme="majorBidi"/>
          <w:b/>
          <w:bCs/>
          <w:color w:val="008ACC" w:themeColor="text2"/>
          <w:sz w:val="60"/>
          <w:szCs w:val="32"/>
        </w:rPr>
      </w:pPr>
      <w:r>
        <w:br w:type="page"/>
      </w:r>
    </w:p>
    <w:p w14:paraId="16E812BE" w14:textId="5E17DEDE" w:rsidR="003D39D8" w:rsidRDefault="003D39D8" w:rsidP="0045351C">
      <w:pPr>
        <w:pStyle w:val="Heading1"/>
        <w:rPr>
          <w:rFonts w:ascii="Times New Roman" w:hAnsi="Times New Roman"/>
          <w:color w:val="auto"/>
          <w:szCs w:val="48"/>
        </w:rPr>
      </w:pPr>
      <w:bookmarkStart w:id="14" w:name="_Toc94984930"/>
      <w:r>
        <w:lastRenderedPageBreak/>
        <w:t>Is harmony possible?</w:t>
      </w:r>
      <w:bookmarkEnd w:id="14"/>
    </w:p>
    <w:p w14:paraId="6023BD2B" w14:textId="67EFC005" w:rsidR="003D39D8" w:rsidRDefault="003D39D8" w:rsidP="003D39D8">
      <w:r>
        <w:t xml:space="preserve">After </w:t>
      </w:r>
      <w:r w:rsidR="00776B07">
        <w:t xml:space="preserve">20 </w:t>
      </w:r>
      <w:r>
        <w:t>years</w:t>
      </w:r>
      <w:r w:rsidR="00384FAA">
        <w:t xml:space="preserve">, </w:t>
      </w:r>
      <w:r>
        <w:t xml:space="preserve">donors are no closer to meeting their commitments. </w:t>
      </w:r>
      <w:r w:rsidR="00336539">
        <w:t>But it i</w:t>
      </w:r>
      <w:r>
        <w:t xml:space="preserve">s </w:t>
      </w:r>
      <w:r w:rsidR="00336539">
        <w:t>un</w:t>
      </w:r>
      <w:r>
        <w:t>realistic to place the onus solely on developing countries as the chronic underfunding they are responsible for places them on the wrong side of the power balance. The diagnosis is stark and the prognosis is vague.</w:t>
      </w:r>
    </w:p>
    <w:p w14:paraId="2A21F199" w14:textId="77777777" w:rsidR="003D39D8" w:rsidRPr="00516E20" w:rsidRDefault="003D39D8" w:rsidP="00BB033F">
      <w:pPr>
        <w:pStyle w:val="Heading2"/>
      </w:pPr>
      <w:bookmarkStart w:id="15" w:name="_Toc94984931"/>
      <w:r w:rsidRPr="00516E20">
        <w:t>Country collaborations</w:t>
      </w:r>
      <w:bookmarkEnd w:id="15"/>
    </w:p>
    <w:p w14:paraId="733E510C" w14:textId="10AEBC34" w:rsidR="003D39D8" w:rsidRDefault="003D39D8" w:rsidP="003D39D8">
      <w:r>
        <w:t>One possibility for bridging this gap could be achieved through the development partner forums that exist in most developing countries. These are monthly or quarterly meetings where donors and international agencies meet with their government counterparts to discuss matters of mutual interest. These forums are not without their tensions</w:t>
      </w:r>
      <w:r>
        <w:rPr>
          <w:rStyle w:val="EndnoteReference"/>
        </w:rPr>
        <w:endnoteReference w:id="75"/>
      </w:r>
      <w:r>
        <w:t xml:space="preserve"> and superficial formalities. </w:t>
      </w:r>
      <w:r w:rsidR="005F4563">
        <w:t>T</w:t>
      </w:r>
      <w:r>
        <w:t>he less governments invest in their own infrastructures, the greater the power imbalance that characterises these meetings. </w:t>
      </w:r>
    </w:p>
    <w:p w14:paraId="38B82ABA" w14:textId="1165F8A0" w:rsidR="003D39D8" w:rsidRDefault="003D39D8" w:rsidP="003D39D8">
      <w:r>
        <w:t>Rebooting these for</w:t>
      </w:r>
      <w:r w:rsidR="005F4563">
        <w:t>ums</w:t>
      </w:r>
      <w:r>
        <w:t xml:space="preserve"> is worth an attempt. Those donors who are members of IATI should be galvanised to champion the value of timely, transparent data on development priorities: both intentions (captured in IATI through forward-looking budgets) and actual spend. This data provides both donors and governments with the timely evidence required for harmonised discussions and joined</w:t>
      </w:r>
      <w:r w:rsidR="001B6C1C">
        <w:t>-</w:t>
      </w:r>
      <w:r>
        <w:t>up decisions. Unlike OECD data</w:t>
      </w:r>
      <w:r w:rsidR="001B6C1C">
        <w:t>,</w:t>
      </w:r>
      <w:r>
        <w:t xml:space="preserve"> which </w:t>
      </w:r>
      <w:r w:rsidR="001B6C1C">
        <w:t xml:space="preserve">can be </w:t>
      </w:r>
      <w:r>
        <w:t>up to two</w:t>
      </w:r>
      <w:r w:rsidR="001B6C1C">
        <w:t xml:space="preserve"> </w:t>
      </w:r>
      <w:r>
        <w:t xml:space="preserve">years </w:t>
      </w:r>
      <w:r w:rsidR="001B6C1C">
        <w:t>old</w:t>
      </w:r>
      <w:r w:rsidR="00776B07">
        <w:t xml:space="preserve"> at the time of publication</w:t>
      </w:r>
      <w:r>
        <w:t>, IATI data can be viewed up to only a quarter in arrears. </w:t>
      </w:r>
    </w:p>
    <w:p w14:paraId="0C4BF4AB" w14:textId="06D63B55" w:rsidR="003D39D8" w:rsidRDefault="003D39D8" w:rsidP="003D39D8">
      <w:r>
        <w:t>Even where development partner forums meet regularly</w:t>
      </w:r>
      <w:r w:rsidR="00204379">
        <w:t>,</w:t>
      </w:r>
      <w:r>
        <w:t xml:space="preserve"> the balance of power between donors and government, particularly in </w:t>
      </w:r>
      <w:r w:rsidR="00A153F2">
        <w:t xml:space="preserve">lower income </w:t>
      </w:r>
      <w:r>
        <w:t>and fragile countries, can easily intimidate government officials into silence. Regional and continental bodies (such as the African Union and Economic Commission for Africa) have a role to play in encouraging and empowering their member governments to stand up and hold their development partners to account.</w:t>
      </w:r>
    </w:p>
    <w:p w14:paraId="4212C44F" w14:textId="77777777" w:rsidR="003D39D8" w:rsidRDefault="003D39D8" w:rsidP="00BB033F">
      <w:pPr>
        <w:pStyle w:val="Heading2"/>
        <w:rPr>
          <w:rFonts w:ascii="Times New Roman" w:hAnsi="Times New Roman"/>
          <w:color w:val="auto"/>
          <w:szCs w:val="36"/>
        </w:rPr>
      </w:pPr>
      <w:bookmarkStart w:id="16" w:name="_Toc94984932"/>
      <w:r>
        <w:t>Levelling the financial playing field</w:t>
      </w:r>
      <w:bookmarkEnd w:id="16"/>
    </w:p>
    <w:p w14:paraId="6501E7FC" w14:textId="77777777" w:rsidR="003D39D8" w:rsidRDefault="003D39D8" w:rsidP="003D39D8">
      <w:r>
        <w:t>There are two possible ways out of the power imbalance that clouds data investments. The first could take the form of a compact between donors and countries where donors commit to only funding capital investments and that such investments are conditional on the recipient government formally committing to the ongoing maintenance of the resulting systems. This approach would tie every donor investment to specific government counterpart funding, reducing the likelihood of both duplication and misalignment to country priorities.</w:t>
      </w:r>
    </w:p>
    <w:p w14:paraId="152D8DDC" w14:textId="08876A97" w:rsidR="003D39D8" w:rsidRDefault="003D39D8" w:rsidP="003D39D8">
      <w:r>
        <w:t>The original 2014 proposal for a compact between government and donor focused more on performance, but it established an approach that involved mutual accountability</w:t>
      </w:r>
      <w:r w:rsidR="000A6E2F">
        <w:t>:</w:t>
      </w:r>
    </w:p>
    <w:p w14:paraId="0678CC79" w14:textId="6D8F7AA0" w:rsidR="003D39D8" w:rsidRPr="003D39D8" w:rsidRDefault="003F47AC" w:rsidP="00394858">
      <w:pPr>
        <w:pStyle w:val="Quotetext"/>
        <w:rPr>
          <w:rFonts w:ascii="Times New Roman" w:hAnsi="Times New Roman"/>
          <w:color w:val="auto"/>
          <w:szCs w:val="15"/>
        </w:rPr>
      </w:pPr>
      <w:r>
        <w:lastRenderedPageBreak/>
        <w:t>“</w:t>
      </w:r>
      <w:r w:rsidR="003D39D8">
        <w:t>Mobilize more donor funding through government-donor compacts and experiment with pay-for-performance agreements. Governments should press for more donor funding of national statistical systems, using a funding modality, or data compact, that creates incentives for greater progress and investment in good data. A pay-for-performance agreement could link funding directly to progress on improving the coverage, accuracy, and openness of core statistical products.</w:t>
      </w:r>
      <w:r>
        <w:t>”</w:t>
      </w:r>
      <w:r w:rsidR="003D39D8" w:rsidRPr="00A302B2">
        <w:rPr>
          <w:rStyle w:val="EndnoteReference"/>
          <w:rFonts w:cs="Arial"/>
          <w:b w:val="0"/>
          <w:bCs/>
          <w:i/>
          <w:iCs/>
        </w:rPr>
        <w:endnoteReference w:id="76"/>
      </w:r>
    </w:p>
    <w:p w14:paraId="2C9D8E37" w14:textId="2F8E8B9A" w:rsidR="003D39D8" w:rsidRPr="003D39D8" w:rsidRDefault="003D39D8" w:rsidP="003D39D8">
      <w:pPr>
        <w:rPr>
          <w:rFonts w:ascii="Times New Roman" w:hAnsi="Times New Roman" w:cs="Times New Roman"/>
          <w:color w:val="auto"/>
          <w:sz w:val="24"/>
          <w:szCs w:val="24"/>
          <w:lang w:eastAsia="en-GB"/>
        </w:rPr>
      </w:pPr>
      <w:r w:rsidRPr="003D39D8">
        <w:rPr>
          <w:lang w:eastAsia="en-GB"/>
        </w:rPr>
        <w:t>A second option, rapidly gaining momentum, involves the transition from current aid architectures to a more equitable arrangement, Global Public Investment</w:t>
      </w:r>
      <w:r w:rsidR="00FB12E3">
        <w:rPr>
          <w:lang w:eastAsia="en-GB"/>
        </w:rPr>
        <w:t>.</w:t>
      </w:r>
      <w:r>
        <w:rPr>
          <w:rStyle w:val="EndnoteReference"/>
          <w:lang w:eastAsia="en-GB"/>
        </w:rPr>
        <w:endnoteReference w:id="77"/>
      </w:r>
      <w:r w:rsidRPr="003D39D8">
        <w:rPr>
          <w:lang w:eastAsia="en-GB"/>
        </w:rPr>
        <w:t xml:space="preserve"> </w:t>
      </w:r>
      <w:r w:rsidR="00BB556B">
        <w:rPr>
          <w:lang w:eastAsia="en-GB"/>
        </w:rPr>
        <w:t>With this option</w:t>
      </w:r>
      <w:r w:rsidRPr="003D39D8">
        <w:rPr>
          <w:lang w:eastAsia="en-GB"/>
        </w:rPr>
        <w:t xml:space="preserve"> all countries, </w:t>
      </w:r>
      <w:r w:rsidR="00A153F2">
        <w:rPr>
          <w:lang w:eastAsia="en-GB"/>
        </w:rPr>
        <w:t>high and low income</w:t>
      </w:r>
      <w:r w:rsidRPr="003D39D8">
        <w:rPr>
          <w:lang w:eastAsia="en-GB"/>
        </w:rPr>
        <w:t xml:space="preserve">, would contribute proportionately to a central fund </w:t>
      </w:r>
      <w:r w:rsidR="00BB556B">
        <w:rPr>
          <w:lang w:eastAsia="en-GB"/>
        </w:rPr>
        <w:t>that</w:t>
      </w:r>
      <w:r w:rsidR="00BB556B" w:rsidRPr="003D39D8">
        <w:rPr>
          <w:lang w:eastAsia="en-GB"/>
        </w:rPr>
        <w:t xml:space="preserve"> </w:t>
      </w:r>
      <w:r w:rsidRPr="003D39D8">
        <w:rPr>
          <w:lang w:eastAsia="en-GB"/>
        </w:rPr>
        <w:t xml:space="preserve">would disburse according to needs, </w:t>
      </w:r>
      <w:r w:rsidR="008E6F5B">
        <w:rPr>
          <w:lang w:eastAsia="en-GB"/>
        </w:rPr>
        <w:t xml:space="preserve">as decided </w:t>
      </w:r>
      <w:r w:rsidRPr="003D39D8">
        <w:rPr>
          <w:lang w:eastAsia="en-GB"/>
        </w:rPr>
        <w:t xml:space="preserve">by all stakeholders. This is </w:t>
      </w:r>
      <w:r w:rsidR="008E6F5B">
        <w:rPr>
          <w:lang w:eastAsia="en-GB"/>
        </w:rPr>
        <w:t xml:space="preserve">an established concept applying to </w:t>
      </w:r>
      <w:r w:rsidRPr="003D39D8">
        <w:rPr>
          <w:lang w:eastAsia="en-GB"/>
        </w:rPr>
        <w:t>much of EU funding.</w:t>
      </w:r>
    </w:p>
    <w:p w14:paraId="2A835501" w14:textId="67108F7F" w:rsidR="003D39D8" w:rsidRDefault="003F47AC" w:rsidP="006A16BE">
      <w:pPr>
        <w:pStyle w:val="Quotetext"/>
      </w:pPr>
      <w:r>
        <w:rPr>
          <w:lang w:eastAsia="en-GB"/>
        </w:rPr>
        <w:t>“</w:t>
      </w:r>
      <w:r w:rsidR="003D39D8" w:rsidRPr="003D39D8">
        <w:rPr>
          <w:lang w:eastAsia="en-GB"/>
        </w:rPr>
        <w:t>The vision at the heart of the EU’s “structural and investment funds” is not just poverty reduction, but convergence to a common standard, “narrow[ing] the development disparities among regions and member states”. Through these funds the EU has spent decades redistributing billions of Euros every year between its members.”</w:t>
      </w:r>
      <w:r w:rsidR="003D39D8">
        <w:rPr>
          <w:rStyle w:val="EndnoteReference"/>
          <w:lang w:eastAsia="en-GB"/>
        </w:rPr>
        <w:endnoteReference w:id="78"/>
      </w:r>
    </w:p>
    <w:p w14:paraId="0F10F62D" w14:textId="77777777" w:rsidR="003D39D8" w:rsidRDefault="003D39D8" w:rsidP="00BB033F">
      <w:pPr>
        <w:pStyle w:val="Heading2"/>
        <w:rPr>
          <w:rFonts w:ascii="Times New Roman" w:hAnsi="Times New Roman"/>
          <w:color w:val="auto"/>
          <w:szCs w:val="36"/>
        </w:rPr>
      </w:pPr>
      <w:bookmarkStart w:id="17" w:name="_Toc94984933"/>
      <w:r w:rsidRPr="00BB033F">
        <w:t>Mapping the data landscape transparently</w:t>
      </w:r>
      <w:bookmarkEnd w:id="17"/>
    </w:p>
    <w:p w14:paraId="18C0E867" w14:textId="64FC67E3" w:rsidR="003D39D8" w:rsidRDefault="003D39D8" w:rsidP="003D39D8">
      <w:r>
        <w:t xml:space="preserve">The greatest opportunity to </w:t>
      </w:r>
      <w:r w:rsidR="00843B8E">
        <w:t xml:space="preserve">create a level playing field </w:t>
      </w:r>
      <w:r w:rsidR="008E6F5B">
        <w:t>and</w:t>
      </w:r>
      <w:r>
        <w:t xml:space="preserve"> to resolve these problems lies, in our opinion, in improved and transparent data governance, with countries creating a transparent mapping of their available data against their statistical needs in </w:t>
      </w:r>
      <w:r w:rsidRPr="00616BE9">
        <w:t xml:space="preserve">a </w:t>
      </w:r>
      <w:r w:rsidRPr="00DC0FF9">
        <w:t>national indicator framework</w:t>
      </w:r>
      <w:r>
        <w:t>. </w:t>
      </w:r>
    </w:p>
    <w:p w14:paraId="3BA078E8" w14:textId="3B2CFD81" w:rsidR="003D39D8" w:rsidRDefault="003D39D8" w:rsidP="003D39D8">
      <w:r>
        <w:t>Their needs are defined by the indicators required for their national development plan, sector strategies and other national priorities</w:t>
      </w:r>
      <w:r w:rsidR="005107D9">
        <w:t>,</w:t>
      </w:r>
      <w:r>
        <w:t xml:space="preserve"> as well as their commitments to regional and global monitoring frameworks.</w:t>
      </w:r>
    </w:p>
    <w:p w14:paraId="1F312705" w14:textId="2F7AB514" w:rsidR="00BE7C2A" w:rsidRPr="00BE7C2A" w:rsidRDefault="00BE7C2A" w:rsidP="00BE7C2A">
      <w:pPr>
        <w:rPr>
          <w:rFonts w:ascii="Times New Roman" w:hAnsi="Times New Roman" w:cs="Times New Roman"/>
          <w:color w:val="auto"/>
          <w:sz w:val="24"/>
          <w:szCs w:val="24"/>
          <w:lang w:eastAsia="en-GB"/>
        </w:rPr>
      </w:pPr>
      <w:r w:rsidRPr="00BE7C2A">
        <w:rPr>
          <w:lang w:eastAsia="en-GB"/>
        </w:rPr>
        <w:t>Most indicators are made up of a series of data elements that are manipulated according to agreed methodologies. A theoretical mapping of all indicators’ components results in a list of all required fields each with their own precise definitions</w:t>
      </w:r>
      <w:r w:rsidR="005107D9">
        <w:rPr>
          <w:lang w:eastAsia="en-GB"/>
        </w:rPr>
        <w:t>,</w:t>
      </w:r>
      <w:r w:rsidRPr="00BE7C2A">
        <w:rPr>
          <w:lang w:eastAsia="en-GB"/>
        </w:rPr>
        <w:t xml:space="preserve"> which should be stored in a </w:t>
      </w:r>
      <w:r w:rsidRPr="00DC0FF9">
        <w:rPr>
          <w:lang w:eastAsia="en-GB"/>
        </w:rPr>
        <w:t>central data dictionary</w:t>
      </w:r>
      <w:r w:rsidRPr="00516E20">
        <w:rPr>
          <w:i/>
          <w:iCs/>
          <w:lang w:eastAsia="en-GB"/>
        </w:rPr>
        <w:t>.</w:t>
      </w:r>
      <w:r w:rsidRPr="00516E20">
        <w:rPr>
          <w:lang w:eastAsia="en-GB"/>
        </w:rPr>
        <w:t> </w:t>
      </w:r>
    </w:p>
    <w:p w14:paraId="0F4868E3" w14:textId="0D65CC6D" w:rsidR="003D39D8" w:rsidRDefault="00BE7C2A" w:rsidP="00BE7C2A">
      <w:pPr>
        <w:rPr>
          <w:lang w:eastAsia="en-GB"/>
        </w:rPr>
      </w:pPr>
      <w:r w:rsidRPr="00BE7C2A">
        <w:rPr>
          <w:lang w:eastAsia="en-GB"/>
        </w:rPr>
        <w:t xml:space="preserve">A complete </w:t>
      </w:r>
      <w:r w:rsidRPr="00DC0FF9">
        <w:rPr>
          <w:lang w:eastAsia="en-GB"/>
        </w:rPr>
        <w:t>inventory of information systems</w:t>
      </w:r>
      <w:r w:rsidRPr="00616BE9">
        <w:rPr>
          <w:lang w:eastAsia="en-GB"/>
        </w:rPr>
        <w:t xml:space="preserve"> </w:t>
      </w:r>
      <w:r w:rsidR="005107D9">
        <w:rPr>
          <w:lang w:eastAsia="en-GB"/>
        </w:rPr>
        <w:t>–</w:t>
      </w:r>
      <w:r w:rsidRPr="00BE7C2A">
        <w:rPr>
          <w:lang w:eastAsia="en-GB"/>
        </w:rPr>
        <w:t xml:space="preserve"> from censuses and surveys to registries, administrative systems and other databases – also reveals a list of data elements that ha</w:t>
      </w:r>
      <w:r w:rsidR="005107D9">
        <w:rPr>
          <w:lang w:eastAsia="en-GB"/>
        </w:rPr>
        <w:t xml:space="preserve">ve </w:t>
      </w:r>
      <w:r w:rsidRPr="00BE7C2A">
        <w:rPr>
          <w:lang w:eastAsia="en-GB"/>
        </w:rPr>
        <w:t>been collected. The mapping from indicators back to sources (see Figure 2 for an example) will therefore reveal gaps (where data for an indicator is not available), duplications (where data is captured by more than one system) and redundancies (where data that is captured is never used).</w:t>
      </w:r>
    </w:p>
    <w:p w14:paraId="652FB885" w14:textId="4F6DC52F" w:rsidR="00BE7C2A" w:rsidRDefault="00276632" w:rsidP="00BB033F">
      <w:pPr>
        <w:pStyle w:val="FigureTitle"/>
      </w:pPr>
      <w:r w:rsidRPr="00276632">
        <w:rPr>
          <w:noProof/>
        </w:rPr>
        <w:lastRenderedPageBreak/>
        <w:drawing>
          <wp:anchor distT="0" distB="0" distL="114300" distR="114300" simplePos="0" relativeHeight="251664384" behindDoc="0" locked="0" layoutInCell="1" allowOverlap="1" wp14:anchorId="50B726FF" wp14:editId="71FDA7E5">
            <wp:simplePos x="0" y="0"/>
            <wp:positionH relativeFrom="margin">
              <wp:posOffset>-11430</wp:posOffset>
            </wp:positionH>
            <wp:positionV relativeFrom="paragraph">
              <wp:posOffset>424815</wp:posOffset>
            </wp:positionV>
            <wp:extent cx="5577205" cy="3724275"/>
            <wp:effectExtent l="0" t="0" r="4445" b="9525"/>
            <wp:wrapSquare wrapText="bothSides"/>
            <wp:docPr id="2" name="Picture 2" descr="The image shows a sankey diagram as an example of indicator-to-source mapping. It maps from Sustainable Development Goal indicators back to sources via data ser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20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632">
        <w:t xml:space="preserve"> </w:t>
      </w:r>
      <w:r w:rsidR="00BE7C2A" w:rsidRPr="00BB033F">
        <w:t>Figure 2</w:t>
      </w:r>
      <w:r w:rsidR="005107D9" w:rsidRPr="00BB033F">
        <w:t>:</w:t>
      </w:r>
      <w:r w:rsidR="00BE7C2A" w:rsidRPr="00BB033F">
        <w:t xml:space="preserve"> Excerpt of Uganda indicator-to-source mapping</w:t>
      </w:r>
    </w:p>
    <w:p w14:paraId="33C04834" w14:textId="77777777" w:rsidR="00BE7C2A" w:rsidRDefault="00BE7C2A" w:rsidP="00582C7D">
      <w:pPr>
        <w:pStyle w:val="Tablesource"/>
        <w:framePr w:wrap="around"/>
      </w:pPr>
    </w:p>
    <w:p w14:paraId="06DE711B" w14:textId="26BA7788" w:rsidR="0025301F" w:rsidRDefault="00BE7C2A" w:rsidP="0025301F">
      <w:pPr>
        <w:pStyle w:val="Source"/>
        <w:rPr>
          <w:rStyle w:val="Hyperlink"/>
        </w:rPr>
      </w:pPr>
      <w:r w:rsidRPr="00516E20">
        <w:t>Source: D</w:t>
      </w:r>
      <w:r w:rsidR="005107D9">
        <w:t xml:space="preserve">evelopment </w:t>
      </w:r>
      <w:r w:rsidRPr="00516E20">
        <w:t>I</w:t>
      </w:r>
      <w:r w:rsidR="005107D9">
        <w:t>nitiatives</w:t>
      </w:r>
      <w:r w:rsidRPr="00516E20">
        <w:t xml:space="preserve">. </w:t>
      </w:r>
      <w:hyperlink r:id="rId11" w:history="1">
        <w:r w:rsidRPr="00516E20">
          <w:rPr>
            <w:rStyle w:val="Hyperlink"/>
            <w:rFonts w:asciiTheme="minorHAnsi" w:hAnsiTheme="minorHAnsi"/>
            <w:color w:val="453F43" w:themeColor="background2"/>
            <w:u w:val="none"/>
          </w:rPr>
          <w:t>The development data assessment</w:t>
        </w:r>
      </w:hyperlink>
      <w:r w:rsidR="00387DCE">
        <w:rPr>
          <w:rStyle w:val="Hyperlink"/>
          <w:rFonts w:asciiTheme="minorHAnsi" w:hAnsiTheme="minorHAnsi"/>
          <w:color w:val="453F43" w:themeColor="background2"/>
          <w:u w:val="none"/>
        </w:rPr>
        <w:t xml:space="preserve">. Available at: </w:t>
      </w:r>
      <w:hyperlink r:id="rId12" w:history="1">
        <w:r w:rsidR="00387DCE" w:rsidRPr="00BB033F">
          <w:rPr>
            <w:rStyle w:val="Hyperlink"/>
            <w:color w:val="453F43" w:themeColor="background2"/>
          </w:rPr>
          <w:t>www.devinit.org/resources/development-data-assessment/</w:t>
        </w:r>
      </w:hyperlink>
      <w:r w:rsidR="0025301F" w:rsidRPr="00494FD2">
        <w:rPr>
          <w:rStyle w:val="Hyperlink"/>
          <w:color w:val="453F43" w:themeColor="background2"/>
          <w:u w:val="none"/>
        </w:rPr>
        <w:t>.</w:t>
      </w:r>
    </w:p>
    <w:p w14:paraId="7D12A6F4" w14:textId="5F28AAA5" w:rsidR="003D39D8" w:rsidRPr="0025301F" w:rsidRDefault="0025301F" w:rsidP="0025301F">
      <w:pPr>
        <w:pStyle w:val="Source"/>
        <w:rPr>
          <w:rStyle w:val="Hyperlink"/>
          <w:color w:val="453F43" w:themeColor="background2"/>
          <w:u w:val="none"/>
        </w:rPr>
      </w:pPr>
      <w:r w:rsidRPr="0025301F">
        <w:rPr>
          <w:rStyle w:val="Hyperlink"/>
          <w:color w:val="453F43" w:themeColor="background2"/>
          <w:u w:val="none"/>
        </w:rPr>
        <w:t xml:space="preserve">Notes: </w:t>
      </w:r>
      <w:r>
        <w:rPr>
          <w:rStyle w:val="Hyperlink"/>
          <w:color w:val="453F43" w:themeColor="background2"/>
          <w:u w:val="none"/>
        </w:rPr>
        <w:t xml:space="preserve">Sustainable Development Goal (SDG) 3 </w:t>
      </w:r>
      <w:r w:rsidRPr="0025301F">
        <w:rPr>
          <w:rStyle w:val="Hyperlink"/>
          <w:color w:val="453F43" w:themeColor="background2"/>
          <w:u w:val="none"/>
        </w:rPr>
        <w:t>Indicator 3.9.2 = Mortality rate attributed to unsafe water, unsafe sanitation and lack of hygiene (exposure to unsafe Water, Sanitation and Hygiene for All (WASH) services)</w:t>
      </w:r>
      <w:r>
        <w:rPr>
          <w:rStyle w:val="Hyperlink"/>
          <w:color w:val="453F43" w:themeColor="background2"/>
          <w:u w:val="none"/>
        </w:rPr>
        <w:t xml:space="preserve">; </w:t>
      </w:r>
      <w:r w:rsidR="0096602E">
        <w:rPr>
          <w:rStyle w:val="Hyperlink"/>
          <w:color w:val="453F43" w:themeColor="background2"/>
          <w:u w:val="none"/>
        </w:rPr>
        <w:t xml:space="preserve">SDG 4 Indicator 4.a.1 = </w:t>
      </w:r>
      <w:r w:rsidR="0096602E" w:rsidRPr="0096602E">
        <w:rPr>
          <w:rStyle w:val="Hyperlink"/>
          <w:color w:val="453F43" w:themeColor="background2"/>
          <w:u w:val="none"/>
        </w:rPr>
        <w:t>proportion of schools with access to (a) electricity; (b) the Internet for pedagogical purposes; (c) computers for pedagogical purposes; (d) adapted infrastructure and materials for students with disabilities; (e) basic drinking water; (f) single-sex basic sanitation facilities; and (g) basic handwashing facilities (as per the WASH indicator definitions)</w:t>
      </w:r>
      <w:r w:rsidR="0096602E">
        <w:rPr>
          <w:rStyle w:val="Hyperlink"/>
          <w:color w:val="453F43" w:themeColor="background2"/>
          <w:u w:val="none"/>
        </w:rPr>
        <w:t xml:space="preserve">; SDG 6 indicator </w:t>
      </w:r>
      <w:r w:rsidR="00494FD2">
        <w:rPr>
          <w:rStyle w:val="Hyperlink"/>
          <w:color w:val="453F43" w:themeColor="background2"/>
          <w:u w:val="none"/>
        </w:rPr>
        <w:t xml:space="preserve">6.2.1 = </w:t>
      </w:r>
      <w:r w:rsidR="00494FD2" w:rsidRPr="00494FD2">
        <w:rPr>
          <w:rStyle w:val="Hyperlink"/>
          <w:color w:val="453F43" w:themeColor="background2"/>
          <w:u w:val="none"/>
        </w:rPr>
        <w:t>Proportion of population using (a) safely managed sanitation services and (b) a hand-washing facility with soap and water</w:t>
      </w:r>
      <w:r w:rsidR="00494FD2">
        <w:rPr>
          <w:rStyle w:val="Hyperlink"/>
          <w:color w:val="453F43" w:themeColor="background2"/>
          <w:u w:val="none"/>
        </w:rPr>
        <w:t>.</w:t>
      </w:r>
    </w:p>
    <w:p w14:paraId="710548AD" w14:textId="10D96781" w:rsidR="00697953" w:rsidRDefault="00BE7C2A" w:rsidP="00697953">
      <w:pPr>
        <w:rPr>
          <w:lang w:eastAsia="en-GB"/>
        </w:rPr>
      </w:pPr>
      <w:r>
        <w:t xml:space="preserve">Metadata captured for each of these exercises (see </w:t>
      </w:r>
      <w:r w:rsidR="00A153F2">
        <w:t xml:space="preserve">Table 6 in the </w:t>
      </w:r>
      <w:r>
        <w:t>Appendix for a summary of its possible content) facilitates in</w:t>
      </w:r>
      <w:r w:rsidR="0033775C">
        <w:t>-</w:t>
      </w:r>
      <w:r>
        <w:t>depth analysis of the entire national data ecosystem in a way that is difficult to achieve otherwise.</w:t>
      </w:r>
      <w:r w:rsidR="00697953" w:rsidRPr="00697953">
        <w:rPr>
          <w:lang w:eastAsia="en-GB"/>
        </w:rPr>
        <w:t xml:space="preserve"> </w:t>
      </w:r>
    </w:p>
    <w:p w14:paraId="50633C24" w14:textId="210CF15E" w:rsidR="00BE7C2A" w:rsidRPr="00616BE9" w:rsidRDefault="00697953" w:rsidP="00BE7C2A">
      <w:pPr>
        <w:rPr>
          <w:rFonts w:ascii="Times New Roman" w:hAnsi="Times New Roman" w:cs="Times New Roman"/>
          <w:color w:val="auto"/>
          <w:sz w:val="24"/>
          <w:szCs w:val="24"/>
          <w:lang w:eastAsia="en-GB"/>
        </w:rPr>
      </w:pPr>
      <w:r w:rsidRPr="00BE7C2A">
        <w:rPr>
          <w:lang w:eastAsia="en-GB"/>
        </w:rPr>
        <w:t>Such a framework not only provides the national statistical system with a well</w:t>
      </w:r>
      <w:r>
        <w:rPr>
          <w:lang w:eastAsia="en-GB"/>
        </w:rPr>
        <w:t>-</w:t>
      </w:r>
      <w:r w:rsidRPr="00BE7C2A">
        <w:rPr>
          <w:lang w:eastAsia="en-GB"/>
        </w:rPr>
        <w:t xml:space="preserve">organised data governance infrastructure </w:t>
      </w:r>
      <w:r>
        <w:rPr>
          <w:lang w:eastAsia="en-GB"/>
        </w:rPr>
        <w:t xml:space="preserve">(Figure 3) </w:t>
      </w:r>
      <w:r w:rsidRPr="00BE7C2A">
        <w:rPr>
          <w:lang w:eastAsia="en-GB"/>
        </w:rPr>
        <w:t xml:space="preserve">but, critically, it allows all stakeholders to understand where gaps exist and where duplication of effort is taking place. </w:t>
      </w:r>
      <w:r>
        <w:rPr>
          <w:lang w:eastAsia="en-GB"/>
        </w:rPr>
        <w:t>Transparent data governance also ensures donors’ political intentions are explicit.</w:t>
      </w:r>
    </w:p>
    <w:p w14:paraId="1DA36C69" w14:textId="77777777" w:rsidR="00D83686" w:rsidRDefault="00D83686">
      <w:pPr>
        <w:spacing w:before="0" w:line="240" w:lineRule="auto"/>
        <w:rPr>
          <w:b/>
          <w:bCs/>
          <w:szCs w:val="20"/>
          <w:lang w:eastAsia="en-GB"/>
        </w:rPr>
      </w:pPr>
      <w:r>
        <w:br w:type="page"/>
      </w:r>
    </w:p>
    <w:p w14:paraId="62569CAB" w14:textId="04787EC1" w:rsidR="003D39D8" w:rsidRDefault="00BE7C2A" w:rsidP="00BB033F">
      <w:pPr>
        <w:pStyle w:val="Tabletitle"/>
      </w:pPr>
      <w:r>
        <w:lastRenderedPageBreak/>
        <w:t>Figure 3</w:t>
      </w:r>
      <w:r w:rsidR="006235F3">
        <w:t>:</w:t>
      </w:r>
      <w:r>
        <w:t xml:space="preserve"> Data governance infrastructure</w:t>
      </w:r>
    </w:p>
    <w:p w14:paraId="765A8962" w14:textId="07640325" w:rsidR="00DF56B2" w:rsidRDefault="00DF56B2" w:rsidP="00BE7C2A">
      <w:pPr>
        <w:rPr>
          <w:lang w:eastAsia="en-GB"/>
        </w:rPr>
      </w:pPr>
      <w:r>
        <w:rPr>
          <w:noProof/>
          <w:lang w:eastAsia="en-GB"/>
        </w:rPr>
        <w:drawing>
          <wp:inline distT="0" distB="0" distL="0" distR="0" wp14:anchorId="22D94FDA" wp14:editId="729DB79E">
            <wp:extent cx="4979246" cy="2334022"/>
            <wp:effectExtent l="0" t="0" r="0" b="9525"/>
            <wp:docPr id="9" name="Picture 9" descr="A diagram showing three elements of a data governance infrastructure and links between different areas. The first element shows data indicators, which include national development plans, regional development plans and Sustainable Development Goals. This is linked to the second area, data governance, which includes a central data dictionary and inventory of data elements. The third area is governance of data sources and this includes an inventory of information systems, within which sit censuses, surveys, registries, management information systems and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79246" cy="2334022"/>
                    </a:xfrm>
                    <a:prstGeom prst="rect">
                      <a:avLst/>
                    </a:prstGeom>
                    <a:ln>
                      <a:noFill/>
                    </a:ln>
                    <a:extLst>
                      <a:ext uri="{53640926-AAD7-44D8-BBD7-CCE9431645EC}">
                        <a14:shadowObscured xmlns:a14="http://schemas.microsoft.com/office/drawing/2010/main"/>
                      </a:ext>
                    </a:extLst>
                  </pic:spPr>
                </pic:pic>
              </a:graphicData>
            </a:graphic>
          </wp:inline>
        </w:drawing>
      </w:r>
    </w:p>
    <w:p w14:paraId="7B03A264" w14:textId="2B4F4A5D" w:rsidR="0033775C" w:rsidRPr="00616BE9" w:rsidRDefault="0033775C" w:rsidP="0025301F">
      <w:pPr>
        <w:pStyle w:val="Source"/>
      </w:pPr>
      <w:r w:rsidRPr="00616BE9">
        <w:t xml:space="preserve">Source: </w:t>
      </w:r>
      <w:r w:rsidR="00552B81">
        <w:t>Development Initiatives.</w:t>
      </w:r>
    </w:p>
    <w:p w14:paraId="7895E991" w14:textId="7092703A" w:rsidR="00BE7C2A" w:rsidRDefault="00081AF7" w:rsidP="00BE7C2A">
      <w:pPr>
        <w:rPr>
          <w:lang w:eastAsia="en-GB"/>
        </w:rPr>
      </w:pPr>
      <w:r>
        <w:rPr>
          <w:lang w:eastAsia="en-GB"/>
        </w:rPr>
        <w:t>D</w:t>
      </w:r>
      <w:r w:rsidR="00BE7C2A" w:rsidRPr="00BE7C2A">
        <w:rPr>
          <w:lang w:eastAsia="en-GB"/>
        </w:rPr>
        <w:t xml:space="preserve">eveloping country governments are </w:t>
      </w:r>
      <w:r>
        <w:rPr>
          <w:lang w:eastAsia="en-GB"/>
        </w:rPr>
        <w:t xml:space="preserve">best </w:t>
      </w:r>
      <w:r w:rsidR="00CA291F">
        <w:rPr>
          <w:lang w:eastAsia="en-GB"/>
        </w:rPr>
        <w:t>placed</w:t>
      </w:r>
      <w:r w:rsidR="00BE7C2A" w:rsidRPr="00BE7C2A">
        <w:rPr>
          <w:lang w:eastAsia="en-GB"/>
        </w:rPr>
        <w:t xml:space="preserve"> to lead the way out of this</w:t>
      </w:r>
      <w:r w:rsidR="00077F9A">
        <w:rPr>
          <w:lang w:eastAsia="en-GB"/>
        </w:rPr>
        <w:t xml:space="preserve"> problem</w:t>
      </w:r>
      <w:r w:rsidR="00BE7C2A" w:rsidRPr="00BE7C2A">
        <w:rPr>
          <w:lang w:eastAsia="en-GB"/>
        </w:rPr>
        <w:t>. By deciding to manage their own prioritisation of investments, governments are in a far stronger position that they may appreciate. The first step on this journey is accepting that it is their problem to fix.</w:t>
      </w:r>
      <w:r w:rsidR="005B3CAB">
        <w:rPr>
          <w:lang w:eastAsia="en-GB"/>
        </w:rPr>
        <w:t xml:space="preserve"> </w:t>
      </w:r>
    </w:p>
    <w:p w14:paraId="666D9B3F" w14:textId="15E9A412" w:rsidR="00BE7C2A" w:rsidRDefault="00BE7C2A" w:rsidP="00BE7C2A">
      <w:pPr>
        <w:rPr>
          <w:lang w:eastAsia="en-GB"/>
        </w:rPr>
      </w:pPr>
    </w:p>
    <w:p w14:paraId="3F47F465" w14:textId="4677A6D3" w:rsidR="00BE7C2A" w:rsidRDefault="00BE7C2A">
      <w:pPr>
        <w:spacing w:before="0" w:line="240" w:lineRule="auto"/>
        <w:rPr>
          <w:lang w:eastAsia="en-GB"/>
        </w:rPr>
      </w:pPr>
      <w:r>
        <w:rPr>
          <w:lang w:eastAsia="en-GB"/>
        </w:rPr>
        <w:br w:type="page"/>
      </w:r>
    </w:p>
    <w:p w14:paraId="400FE579" w14:textId="2753B157" w:rsidR="00BE7C2A" w:rsidRDefault="00BE7C2A" w:rsidP="0045351C">
      <w:pPr>
        <w:pStyle w:val="Heading1"/>
      </w:pPr>
      <w:bookmarkStart w:id="18" w:name="_Toc94984934"/>
      <w:r>
        <w:lastRenderedPageBreak/>
        <w:t>Appendi</w:t>
      </w:r>
      <w:r w:rsidR="00184F81">
        <w:t>x</w:t>
      </w:r>
      <w:bookmarkEnd w:id="18"/>
    </w:p>
    <w:p w14:paraId="437C9B64" w14:textId="60D4899B" w:rsidR="00BE7C2A" w:rsidRPr="00516E20" w:rsidRDefault="00516E20" w:rsidP="00BB033F">
      <w:pPr>
        <w:pStyle w:val="Tabletitle"/>
      </w:pPr>
      <w:r>
        <w:t xml:space="preserve">Table 1: </w:t>
      </w:r>
      <w:r w:rsidR="00BE7C2A" w:rsidRPr="00516E20">
        <w:t>DHS and MICS surveys conducted in Africa since 2010</w:t>
      </w:r>
    </w:p>
    <w:tbl>
      <w:tblPr>
        <w:tblStyle w:val="DItable"/>
        <w:tblpPr w:leftFromText="180" w:rightFromText="180" w:vertAnchor="text" w:horzAnchor="page" w:tblpX="1555" w:tblpY="305"/>
        <w:tblW w:w="9922" w:type="dxa"/>
        <w:tblBorders>
          <w:top w:val="single" w:sz="8" w:space="0" w:color="008ACC" w:themeColor="accent1"/>
          <w:bottom w:val="single" w:sz="8" w:space="0" w:color="008ACC" w:themeColor="accent1"/>
          <w:insideH w:val="single" w:sz="8" w:space="0" w:color="008ACC" w:themeColor="accent1"/>
        </w:tblBorders>
        <w:tblLayout w:type="fixed"/>
        <w:tblLook w:val="04A0" w:firstRow="1" w:lastRow="0" w:firstColumn="1" w:lastColumn="0" w:noHBand="0" w:noVBand="1"/>
      </w:tblPr>
      <w:tblGrid>
        <w:gridCol w:w="1247"/>
        <w:gridCol w:w="666"/>
        <w:gridCol w:w="639"/>
        <w:gridCol w:w="688"/>
        <w:gridCol w:w="661"/>
        <w:gridCol w:w="635"/>
        <w:gridCol w:w="697"/>
        <w:gridCol w:w="666"/>
        <w:gridCol w:w="622"/>
        <w:gridCol w:w="709"/>
        <w:gridCol w:w="704"/>
        <w:gridCol w:w="661"/>
        <w:gridCol w:w="619"/>
        <w:gridCol w:w="708"/>
      </w:tblGrid>
      <w:tr w:rsidR="00D83686" w:rsidRPr="00BE7C2A" w14:paraId="5620E0B1" w14:textId="77777777" w:rsidTr="00D83686">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247" w:type="dxa"/>
            <w:shd w:val="clear" w:color="auto" w:fill="FFFFFF" w:themeFill="background1"/>
            <w:hideMark/>
          </w:tcPr>
          <w:p w14:paraId="38C50963" w14:textId="77777777" w:rsidR="007771A7" w:rsidRPr="00D83686" w:rsidRDefault="007771A7" w:rsidP="0068302D">
            <w:pPr>
              <w:pStyle w:val="TableHead"/>
              <w:framePr w:hSpace="0" w:wrap="auto" w:vAnchor="margin" w:hAnchor="text" w:xAlign="left" w:yAlign="inline"/>
              <w:rPr>
                <w:rFonts w:ascii="Times New Roman" w:hAnsi="Times New Roman" w:cs="Times New Roman"/>
                <w:color w:val="453F43" w:themeColor="background2"/>
                <w:sz w:val="18"/>
                <w:szCs w:val="18"/>
              </w:rPr>
            </w:pPr>
            <w:r w:rsidRPr="00D83686">
              <w:rPr>
                <w:color w:val="453F43" w:themeColor="background2"/>
                <w:sz w:val="18"/>
                <w:szCs w:val="18"/>
              </w:rPr>
              <w:t>Country</w:t>
            </w:r>
          </w:p>
        </w:tc>
        <w:tc>
          <w:tcPr>
            <w:tcW w:w="666" w:type="dxa"/>
            <w:shd w:val="clear" w:color="auto" w:fill="FFFFFF" w:themeFill="background1"/>
            <w:hideMark/>
          </w:tcPr>
          <w:p w14:paraId="7A05F4CD"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2010</w:t>
            </w:r>
          </w:p>
        </w:tc>
        <w:tc>
          <w:tcPr>
            <w:tcW w:w="639" w:type="dxa"/>
            <w:shd w:val="clear" w:color="auto" w:fill="FFFFFF" w:themeFill="background1"/>
            <w:hideMark/>
          </w:tcPr>
          <w:p w14:paraId="518D5482"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2011</w:t>
            </w:r>
          </w:p>
        </w:tc>
        <w:tc>
          <w:tcPr>
            <w:tcW w:w="688" w:type="dxa"/>
            <w:shd w:val="clear" w:color="auto" w:fill="FFFFFF" w:themeFill="background1"/>
            <w:hideMark/>
          </w:tcPr>
          <w:p w14:paraId="35EFD8C4"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2012</w:t>
            </w:r>
          </w:p>
        </w:tc>
        <w:tc>
          <w:tcPr>
            <w:tcW w:w="661" w:type="dxa"/>
            <w:shd w:val="clear" w:color="auto" w:fill="FFFFFF" w:themeFill="background1"/>
            <w:hideMark/>
          </w:tcPr>
          <w:p w14:paraId="4D5BB35D"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2013</w:t>
            </w:r>
          </w:p>
        </w:tc>
        <w:tc>
          <w:tcPr>
            <w:tcW w:w="635" w:type="dxa"/>
            <w:shd w:val="clear" w:color="auto" w:fill="FFFFFF" w:themeFill="background1"/>
            <w:hideMark/>
          </w:tcPr>
          <w:p w14:paraId="51FCE0A8"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2014</w:t>
            </w:r>
          </w:p>
        </w:tc>
        <w:tc>
          <w:tcPr>
            <w:tcW w:w="697" w:type="dxa"/>
            <w:shd w:val="clear" w:color="auto" w:fill="FFFFFF" w:themeFill="background1"/>
            <w:hideMark/>
          </w:tcPr>
          <w:p w14:paraId="6D43801E"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2015</w:t>
            </w:r>
          </w:p>
        </w:tc>
        <w:tc>
          <w:tcPr>
            <w:tcW w:w="666" w:type="dxa"/>
            <w:shd w:val="clear" w:color="auto" w:fill="FFFFFF" w:themeFill="background1"/>
            <w:hideMark/>
          </w:tcPr>
          <w:p w14:paraId="5196FF1A"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2016</w:t>
            </w:r>
          </w:p>
        </w:tc>
        <w:tc>
          <w:tcPr>
            <w:tcW w:w="622" w:type="dxa"/>
            <w:shd w:val="clear" w:color="auto" w:fill="FFFFFF" w:themeFill="background1"/>
            <w:hideMark/>
          </w:tcPr>
          <w:p w14:paraId="28C55A32"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2017</w:t>
            </w:r>
          </w:p>
        </w:tc>
        <w:tc>
          <w:tcPr>
            <w:tcW w:w="709" w:type="dxa"/>
            <w:shd w:val="clear" w:color="auto" w:fill="FFFFFF" w:themeFill="background1"/>
            <w:hideMark/>
          </w:tcPr>
          <w:p w14:paraId="3621EA29"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2018</w:t>
            </w:r>
          </w:p>
        </w:tc>
        <w:tc>
          <w:tcPr>
            <w:tcW w:w="704" w:type="dxa"/>
            <w:shd w:val="clear" w:color="auto" w:fill="FFFFFF" w:themeFill="background1"/>
            <w:hideMark/>
          </w:tcPr>
          <w:p w14:paraId="4E20F100"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2019</w:t>
            </w:r>
          </w:p>
        </w:tc>
        <w:tc>
          <w:tcPr>
            <w:tcW w:w="661" w:type="dxa"/>
            <w:shd w:val="clear" w:color="auto" w:fill="FFFFFF" w:themeFill="background1"/>
            <w:hideMark/>
          </w:tcPr>
          <w:p w14:paraId="60CA5920"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2020</w:t>
            </w:r>
          </w:p>
        </w:tc>
        <w:tc>
          <w:tcPr>
            <w:tcW w:w="619" w:type="dxa"/>
            <w:shd w:val="clear" w:color="auto" w:fill="FFFFFF" w:themeFill="background1"/>
            <w:hideMark/>
          </w:tcPr>
          <w:p w14:paraId="4DCA0F72"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2021</w:t>
            </w:r>
          </w:p>
        </w:tc>
        <w:tc>
          <w:tcPr>
            <w:tcW w:w="708" w:type="dxa"/>
            <w:shd w:val="clear" w:color="auto" w:fill="FFFFFF" w:themeFill="background1"/>
            <w:hideMark/>
          </w:tcPr>
          <w:p w14:paraId="5BBF54B1" w14:textId="77777777" w:rsidR="007771A7" w:rsidRPr="00D83686" w:rsidRDefault="007771A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18"/>
                <w:szCs w:val="18"/>
              </w:rPr>
            </w:pPr>
            <w:r w:rsidRPr="00D83686">
              <w:rPr>
                <w:color w:val="453F43" w:themeColor="background2"/>
                <w:sz w:val="18"/>
                <w:szCs w:val="18"/>
              </w:rPr>
              <w:t>2022</w:t>
            </w:r>
          </w:p>
        </w:tc>
      </w:tr>
      <w:tr w:rsidR="00D83686" w:rsidRPr="00BE7C2A" w14:paraId="2D916119"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658D0B3"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Angola</w:t>
            </w:r>
          </w:p>
        </w:tc>
        <w:tc>
          <w:tcPr>
            <w:tcW w:w="666" w:type="dxa"/>
            <w:hideMark/>
          </w:tcPr>
          <w:p w14:paraId="584B3A2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590366F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7292591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37194A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676008A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shd w:val="clear" w:color="auto" w:fill="88BAE6" w:themeFill="accent2"/>
            <w:hideMark/>
          </w:tcPr>
          <w:p w14:paraId="6A38EDF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6" w:type="dxa"/>
            <w:hideMark/>
          </w:tcPr>
          <w:p w14:paraId="250E343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CF6C64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12215B8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24C0F35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1943BA9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56598A2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44167B9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06AA6EB0"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3D46C9DC"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Benin</w:t>
            </w:r>
          </w:p>
        </w:tc>
        <w:tc>
          <w:tcPr>
            <w:tcW w:w="666" w:type="dxa"/>
            <w:hideMark/>
          </w:tcPr>
          <w:p w14:paraId="5FBAC53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1B2D26C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2E35589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F9375F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67213C8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2B2" w:themeColor="accent4"/>
                <w:szCs w:val="18"/>
              </w:rPr>
            </w:pPr>
            <w:r w:rsidRPr="00D83686">
              <w:rPr>
                <w:szCs w:val="18"/>
              </w:rPr>
              <w:t>MICS</w:t>
            </w:r>
          </w:p>
        </w:tc>
        <w:tc>
          <w:tcPr>
            <w:tcW w:w="697" w:type="dxa"/>
            <w:hideMark/>
          </w:tcPr>
          <w:p w14:paraId="011CD36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9E7CD2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shd w:val="clear" w:color="auto" w:fill="88BAE6" w:themeFill="accent2"/>
            <w:hideMark/>
          </w:tcPr>
          <w:p w14:paraId="5CB5E86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9" w:type="dxa"/>
            <w:hideMark/>
          </w:tcPr>
          <w:p w14:paraId="49A15BD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4E4CDED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60E67A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F8C1B3"/>
            <w:hideMark/>
          </w:tcPr>
          <w:p w14:paraId="21AB415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8" w:type="dxa"/>
            <w:hideMark/>
          </w:tcPr>
          <w:p w14:paraId="41F59D9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377DA56E"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3651374"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Burkina Faso</w:t>
            </w:r>
          </w:p>
        </w:tc>
        <w:tc>
          <w:tcPr>
            <w:tcW w:w="666" w:type="dxa"/>
            <w:shd w:val="clear" w:color="auto" w:fill="88BAE6" w:themeFill="accent2"/>
            <w:hideMark/>
          </w:tcPr>
          <w:p w14:paraId="67A827D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9" w:type="dxa"/>
            <w:hideMark/>
          </w:tcPr>
          <w:p w14:paraId="390DA07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AD135D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70B5FA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7A62899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3145A84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8562CD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7D0448D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286C4F0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5E20AC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683356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12A5650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6E225E0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1621B5B9"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A404F0A"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Burundi</w:t>
            </w:r>
          </w:p>
        </w:tc>
        <w:tc>
          <w:tcPr>
            <w:tcW w:w="666" w:type="dxa"/>
            <w:shd w:val="clear" w:color="auto" w:fill="88BAE6" w:themeFill="accent2"/>
            <w:hideMark/>
          </w:tcPr>
          <w:p w14:paraId="402529E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9" w:type="dxa"/>
            <w:hideMark/>
          </w:tcPr>
          <w:p w14:paraId="6CC5FCC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02803BE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C8721C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37288C3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2998FE0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88BAE6" w:themeFill="accent2"/>
            <w:hideMark/>
          </w:tcPr>
          <w:p w14:paraId="6D56497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22" w:type="dxa"/>
            <w:hideMark/>
          </w:tcPr>
          <w:p w14:paraId="224CCB1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77183D8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77FDF7E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51D37C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2CF2CBA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97B9C2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24A6372A"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264526F1"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Cameroon</w:t>
            </w:r>
          </w:p>
        </w:tc>
        <w:tc>
          <w:tcPr>
            <w:tcW w:w="666" w:type="dxa"/>
            <w:hideMark/>
          </w:tcPr>
          <w:p w14:paraId="45F3AFE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30AF641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53A0A5C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5044C5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20F23E7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97" w:type="dxa"/>
            <w:hideMark/>
          </w:tcPr>
          <w:p w14:paraId="0852207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1B322A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60465DA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88BAE6" w:themeFill="accent2"/>
            <w:hideMark/>
          </w:tcPr>
          <w:p w14:paraId="0684A85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hideMark/>
          </w:tcPr>
          <w:p w14:paraId="2A3ADA1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ECC641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2289CB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1B1235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75C43DD0"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179F0341"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Central African Republic</w:t>
            </w:r>
          </w:p>
        </w:tc>
        <w:tc>
          <w:tcPr>
            <w:tcW w:w="666" w:type="dxa"/>
            <w:shd w:val="clear" w:color="auto" w:fill="F8C1B3"/>
            <w:hideMark/>
          </w:tcPr>
          <w:p w14:paraId="4A4C828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7438F59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4832C60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EE3AD1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5F75490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317FE91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F8C1B3"/>
            <w:hideMark/>
          </w:tcPr>
          <w:p w14:paraId="131EC74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22" w:type="dxa"/>
            <w:hideMark/>
          </w:tcPr>
          <w:p w14:paraId="1ECF4B5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F8C1B3"/>
            <w:hideMark/>
          </w:tcPr>
          <w:p w14:paraId="118A98C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4" w:type="dxa"/>
            <w:hideMark/>
          </w:tcPr>
          <w:p w14:paraId="0D1314E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014E3B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2C71A7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1F46AF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3C676D78"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4843945"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Chad</w:t>
            </w:r>
          </w:p>
        </w:tc>
        <w:tc>
          <w:tcPr>
            <w:tcW w:w="666" w:type="dxa"/>
            <w:shd w:val="clear" w:color="auto" w:fill="F8C1B3"/>
            <w:hideMark/>
          </w:tcPr>
          <w:p w14:paraId="5F95C45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0F9A00E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2221090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8639E4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50BC73C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hideMark/>
          </w:tcPr>
          <w:p w14:paraId="68B316B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397AB6B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3C003E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861F5E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F8C1B3"/>
            <w:hideMark/>
          </w:tcPr>
          <w:p w14:paraId="112381F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61" w:type="dxa"/>
            <w:hideMark/>
          </w:tcPr>
          <w:p w14:paraId="1A3E0C3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596877B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17C6B05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20EA24DD"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6DF5E1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Comoros</w:t>
            </w:r>
          </w:p>
        </w:tc>
        <w:tc>
          <w:tcPr>
            <w:tcW w:w="666" w:type="dxa"/>
            <w:hideMark/>
          </w:tcPr>
          <w:p w14:paraId="2229C63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37A508D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5151CF9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4A94B9E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46ABBC2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55E5F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07F3C4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C38304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52A2093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2D49280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A91573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F8C1B3"/>
            <w:hideMark/>
          </w:tcPr>
          <w:p w14:paraId="64CC3F3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8" w:type="dxa"/>
            <w:hideMark/>
          </w:tcPr>
          <w:p w14:paraId="0AA2C19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06ECFF9E"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194E5AF"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Congo (Brazzaville)</w:t>
            </w:r>
          </w:p>
        </w:tc>
        <w:tc>
          <w:tcPr>
            <w:tcW w:w="666" w:type="dxa"/>
            <w:hideMark/>
          </w:tcPr>
          <w:p w14:paraId="583C5BA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1E94801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4202C03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E94808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22139BA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97" w:type="dxa"/>
            <w:hideMark/>
          </w:tcPr>
          <w:p w14:paraId="6546283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F81665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240502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84FD09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59031F2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7D0031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3214AD2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E448D4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7BF1FF17"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D16F88F"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Congo (DRC)</w:t>
            </w:r>
          </w:p>
        </w:tc>
        <w:tc>
          <w:tcPr>
            <w:tcW w:w="666" w:type="dxa"/>
            <w:shd w:val="clear" w:color="auto" w:fill="F8C1B3"/>
            <w:hideMark/>
          </w:tcPr>
          <w:p w14:paraId="054A6D9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135A824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1244005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55CE8FD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7071948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505B11C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0C69F8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shd w:val="clear" w:color="auto" w:fill="F8C1B3"/>
            <w:hideMark/>
          </w:tcPr>
          <w:p w14:paraId="6EE3689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9" w:type="dxa"/>
            <w:hideMark/>
          </w:tcPr>
          <w:p w14:paraId="252F710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2810A24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12DDA6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7216BA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82AC5C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431E7F64"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DD3FE1C"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Cote d'Ivoire</w:t>
            </w:r>
          </w:p>
        </w:tc>
        <w:tc>
          <w:tcPr>
            <w:tcW w:w="666" w:type="dxa"/>
            <w:hideMark/>
          </w:tcPr>
          <w:p w14:paraId="18C8294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51E3551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194523B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C77BF5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68F4CF6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12C5E8A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F8C1B3"/>
            <w:hideMark/>
          </w:tcPr>
          <w:p w14:paraId="4D7C268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22" w:type="dxa"/>
            <w:hideMark/>
          </w:tcPr>
          <w:p w14:paraId="2EDE5E7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23DB8E4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38EEA58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650A3B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4EA5EA3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4E16288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5C82EF57"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409F4D3"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Equatorial Guinea</w:t>
            </w:r>
          </w:p>
        </w:tc>
        <w:tc>
          <w:tcPr>
            <w:tcW w:w="666" w:type="dxa"/>
            <w:hideMark/>
          </w:tcPr>
          <w:p w14:paraId="0D01FFC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20BEF0F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582F85A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2283C6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4CA20D3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7FE2C47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F8C1B3"/>
            <w:hideMark/>
          </w:tcPr>
          <w:p w14:paraId="3998B56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22" w:type="dxa"/>
            <w:hideMark/>
          </w:tcPr>
          <w:p w14:paraId="3273B05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1B40F2D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25B0F7E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11230B9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087FB1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25D44C6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3148DD1A"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2624CF1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Eswatini</w:t>
            </w:r>
          </w:p>
        </w:tc>
        <w:tc>
          <w:tcPr>
            <w:tcW w:w="666" w:type="dxa"/>
            <w:shd w:val="clear" w:color="auto" w:fill="F8C1B3"/>
            <w:hideMark/>
          </w:tcPr>
          <w:p w14:paraId="6D29BA8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74E60C6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3876EEB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5AFA7F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7ECC446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97" w:type="dxa"/>
            <w:hideMark/>
          </w:tcPr>
          <w:p w14:paraId="7D69767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1F38D7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078742B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B17EFB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10548CB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16A6E96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F8C1B3"/>
            <w:hideMark/>
          </w:tcPr>
          <w:p w14:paraId="1C53D7C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8" w:type="dxa"/>
            <w:hideMark/>
          </w:tcPr>
          <w:p w14:paraId="5788AC5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17DEAA0D"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356F135"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Ethiopia</w:t>
            </w:r>
          </w:p>
        </w:tc>
        <w:tc>
          <w:tcPr>
            <w:tcW w:w="666" w:type="dxa"/>
            <w:hideMark/>
          </w:tcPr>
          <w:p w14:paraId="4970520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75078CD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3DB3EE9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AD453A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7E99BD6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6B03F7C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88BAE6" w:themeFill="accent2"/>
            <w:hideMark/>
          </w:tcPr>
          <w:p w14:paraId="1246562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22" w:type="dxa"/>
            <w:hideMark/>
          </w:tcPr>
          <w:p w14:paraId="2F63F88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2942FFA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0A569FF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84432C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2B5BF66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shd w:val="clear" w:color="auto" w:fill="88BAE6" w:themeFill="accent2"/>
            <w:hideMark/>
          </w:tcPr>
          <w:p w14:paraId="02086A3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r>
      <w:tr w:rsidR="00D83686" w:rsidRPr="00BE7C2A" w14:paraId="3481A4AB"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42E7CCE"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Gabon</w:t>
            </w:r>
          </w:p>
        </w:tc>
        <w:tc>
          <w:tcPr>
            <w:tcW w:w="666" w:type="dxa"/>
            <w:hideMark/>
          </w:tcPr>
          <w:p w14:paraId="1676D1A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67553C2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4BF140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014F6E1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5F3E05C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69704BF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141FB35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1F2F5A8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76B0018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88BAE6" w:themeFill="accent2"/>
            <w:hideMark/>
          </w:tcPr>
          <w:p w14:paraId="5937326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35960A5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581677E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103A94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2C36F948"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C96FD7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Gambia</w:t>
            </w:r>
          </w:p>
        </w:tc>
        <w:tc>
          <w:tcPr>
            <w:tcW w:w="666" w:type="dxa"/>
            <w:shd w:val="clear" w:color="auto" w:fill="F8C1B3"/>
            <w:hideMark/>
          </w:tcPr>
          <w:p w14:paraId="7787047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11C4213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2C3B849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025B4D0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03A614A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1572223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69815A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384802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F8C1B3"/>
            <w:hideMark/>
          </w:tcPr>
          <w:p w14:paraId="2D35225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4" w:type="dxa"/>
            <w:shd w:val="clear" w:color="auto" w:fill="88BAE6" w:themeFill="accent2"/>
            <w:hideMark/>
          </w:tcPr>
          <w:p w14:paraId="6A73836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6C85D74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65A14B4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7D11C4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05CEFE93"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4061433"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Ghana</w:t>
            </w:r>
          </w:p>
        </w:tc>
        <w:tc>
          <w:tcPr>
            <w:tcW w:w="666" w:type="dxa"/>
            <w:hideMark/>
          </w:tcPr>
          <w:p w14:paraId="0841C89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5EB8F71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78EBE39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C87784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441DA32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hideMark/>
          </w:tcPr>
          <w:p w14:paraId="40087F2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21021A2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shd w:val="clear" w:color="auto" w:fill="F8C1B3"/>
            <w:hideMark/>
          </w:tcPr>
          <w:p w14:paraId="68B181E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9" w:type="dxa"/>
            <w:hideMark/>
          </w:tcPr>
          <w:p w14:paraId="7CD2AA2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38D59AF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5A5D93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68A8EE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3C9A482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77BABE42"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7109114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Guinea</w:t>
            </w:r>
          </w:p>
        </w:tc>
        <w:tc>
          <w:tcPr>
            <w:tcW w:w="666" w:type="dxa"/>
            <w:hideMark/>
          </w:tcPr>
          <w:p w14:paraId="03E90D1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1EA7F0A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2BC8844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4687351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4C0C8E0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18B1276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F8C1B3"/>
            <w:hideMark/>
          </w:tcPr>
          <w:p w14:paraId="5F41DFE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22" w:type="dxa"/>
            <w:hideMark/>
          </w:tcPr>
          <w:p w14:paraId="7D387FC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88BAE6" w:themeFill="accent2"/>
            <w:hideMark/>
          </w:tcPr>
          <w:p w14:paraId="7B8BF39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hideMark/>
          </w:tcPr>
          <w:p w14:paraId="430C44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8A973A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27C6525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E50AAF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23594EC7" w14:textId="77777777" w:rsidTr="00920F9E">
        <w:trPr>
          <w:trHeight w:hRule="exact" w:val="770"/>
        </w:trPr>
        <w:tc>
          <w:tcPr>
            <w:cnfStyle w:val="001000000000" w:firstRow="0" w:lastRow="0" w:firstColumn="1" w:lastColumn="0" w:oddVBand="0" w:evenVBand="0" w:oddHBand="0" w:evenHBand="0" w:firstRowFirstColumn="0" w:firstRowLastColumn="0" w:lastRowFirstColumn="0" w:lastRowLastColumn="0"/>
            <w:tcW w:w="1247" w:type="dxa"/>
            <w:hideMark/>
          </w:tcPr>
          <w:p w14:paraId="5221DA98"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Guinea-Bissau</w:t>
            </w:r>
          </w:p>
        </w:tc>
        <w:tc>
          <w:tcPr>
            <w:tcW w:w="666" w:type="dxa"/>
            <w:shd w:val="clear" w:color="auto" w:fill="F8C1B3"/>
            <w:hideMark/>
          </w:tcPr>
          <w:p w14:paraId="77CBD35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6178379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BF9FE5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0A0137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3816D83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97" w:type="dxa"/>
            <w:hideMark/>
          </w:tcPr>
          <w:p w14:paraId="5F7109E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0E96841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F55582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F8C1B3"/>
            <w:hideMark/>
          </w:tcPr>
          <w:p w14:paraId="4823405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4" w:type="dxa"/>
            <w:hideMark/>
          </w:tcPr>
          <w:p w14:paraId="0B68D6C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003489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29055FB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4E36B20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1442DECE"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342FE8A8"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Kenya</w:t>
            </w:r>
          </w:p>
        </w:tc>
        <w:tc>
          <w:tcPr>
            <w:tcW w:w="666" w:type="dxa"/>
            <w:shd w:val="clear" w:color="auto" w:fill="88BAE6" w:themeFill="accent2"/>
            <w:hideMark/>
          </w:tcPr>
          <w:p w14:paraId="2CFD4F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9" w:type="dxa"/>
            <w:hideMark/>
          </w:tcPr>
          <w:p w14:paraId="0CF2B0B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573515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403B0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5CAA0A4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hideMark/>
          </w:tcPr>
          <w:p w14:paraId="0259A90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4B72E5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4279988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4DDE14A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5BCAB2F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A4184D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0E91889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shd w:val="clear" w:color="auto" w:fill="88BAE6" w:themeFill="accent2"/>
            <w:hideMark/>
          </w:tcPr>
          <w:p w14:paraId="0031DEF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r>
      <w:tr w:rsidR="00D83686" w:rsidRPr="00BE7C2A" w14:paraId="5117C020"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46A461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Lesotho</w:t>
            </w:r>
          </w:p>
        </w:tc>
        <w:tc>
          <w:tcPr>
            <w:tcW w:w="666" w:type="dxa"/>
            <w:hideMark/>
          </w:tcPr>
          <w:p w14:paraId="5C101D4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71411EC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6A4702F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149F15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4CBC32C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hideMark/>
          </w:tcPr>
          <w:p w14:paraId="6AF4E18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F7C945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7954A71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F8C1B3"/>
            <w:hideMark/>
          </w:tcPr>
          <w:p w14:paraId="3F9B58D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4" w:type="dxa"/>
            <w:hideMark/>
          </w:tcPr>
          <w:p w14:paraId="45AB827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FB9446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61822B9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59CE0EB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BE7C2A" w14:paraId="62CACCE9"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17325B34"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Liberia</w:t>
            </w:r>
          </w:p>
        </w:tc>
        <w:tc>
          <w:tcPr>
            <w:tcW w:w="666" w:type="dxa"/>
            <w:hideMark/>
          </w:tcPr>
          <w:p w14:paraId="01E189A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4469674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1AAC432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5D98DB4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4C21F24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D58C82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6202DCF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2E3483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045756E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88BAE6" w:themeFill="accent2"/>
            <w:hideMark/>
          </w:tcPr>
          <w:p w14:paraId="25AEAB3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38EB7D7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3D398E0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6409B0A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65245378"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1923E31C"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lastRenderedPageBreak/>
              <w:t>Madagascar</w:t>
            </w:r>
          </w:p>
        </w:tc>
        <w:tc>
          <w:tcPr>
            <w:tcW w:w="666" w:type="dxa"/>
            <w:hideMark/>
          </w:tcPr>
          <w:p w14:paraId="10CC623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0BDFD46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24E4751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B6DE9D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72B0FD8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0AFAF9D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594F5FD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551C471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F8C1B3"/>
            <w:hideMark/>
          </w:tcPr>
          <w:p w14:paraId="38E03FF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4" w:type="dxa"/>
            <w:hideMark/>
          </w:tcPr>
          <w:p w14:paraId="0E02647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CD5B1A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7D0D2DE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7DA6054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0674DF32"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3DA32019"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Malawi</w:t>
            </w:r>
          </w:p>
        </w:tc>
        <w:tc>
          <w:tcPr>
            <w:tcW w:w="666" w:type="dxa"/>
            <w:hideMark/>
          </w:tcPr>
          <w:p w14:paraId="3613427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1BE896F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44F5024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66581F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7F37933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shd w:val="clear" w:color="auto" w:fill="88BAE6" w:themeFill="accent2"/>
            <w:hideMark/>
          </w:tcPr>
          <w:p w14:paraId="1218289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6" w:type="dxa"/>
            <w:hideMark/>
          </w:tcPr>
          <w:p w14:paraId="43DAAAF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6DE55D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0A911B1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F8C1B3"/>
            <w:hideMark/>
          </w:tcPr>
          <w:p w14:paraId="7BC8007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61" w:type="dxa"/>
            <w:hideMark/>
          </w:tcPr>
          <w:p w14:paraId="42C7A6C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00562BB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04D8A6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6EA6BF22"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CA322DE"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Mali</w:t>
            </w:r>
          </w:p>
        </w:tc>
        <w:tc>
          <w:tcPr>
            <w:tcW w:w="666" w:type="dxa"/>
            <w:hideMark/>
          </w:tcPr>
          <w:p w14:paraId="297D7DE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4E54B9A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2363EDC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4BA4B8A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094D2A6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shd w:val="clear" w:color="auto" w:fill="F8C1B3"/>
            <w:hideMark/>
          </w:tcPr>
          <w:p w14:paraId="7060605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66" w:type="dxa"/>
            <w:hideMark/>
          </w:tcPr>
          <w:p w14:paraId="3C5C1EC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35149A6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88BAE6" w:themeFill="accent2"/>
            <w:hideMark/>
          </w:tcPr>
          <w:p w14:paraId="7274DF9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hideMark/>
          </w:tcPr>
          <w:p w14:paraId="08B1E90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C45E7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10E1E06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446B97A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422D17C6"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DFF5BCA"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Mozambique</w:t>
            </w:r>
          </w:p>
        </w:tc>
        <w:tc>
          <w:tcPr>
            <w:tcW w:w="666" w:type="dxa"/>
            <w:hideMark/>
          </w:tcPr>
          <w:p w14:paraId="1870FF2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88BAE6" w:themeFill="accent2"/>
            <w:hideMark/>
          </w:tcPr>
          <w:p w14:paraId="41F9E39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88" w:type="dxa"/>
            <w:hideMark/>
          </w:tcPr>
          <w:p w14:paraId="2A9D294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A45EB6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1763A68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64F77A8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05247AD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63885B5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0126353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31D523F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8D1035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657ABCD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30AB998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35969BF7"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6F5D0F5"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Namibia</w:t>
            </w:r>
          </w:p>
        </w:tc>
        <w:tc>
          <w:tcPr>
            <w:tcW w:w="666" w:type="dxa"/>
            <w:hideMark/>
          </w:tcPr>
          <w:p w14:paraId="2F5E328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4BC5319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670D6CA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hideMark/>
          </w:tcPr>
          <w:p w14:paraId="090E8FA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0EAA922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0B4AAE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6E0CE1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7F3EF0F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2CAF848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647D1E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F04B8C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63307B5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5F8670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4A2DB011"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DEA33AF"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Niger</w:t>
            </w:r>
          </w:p>
        </w:tc>
        <w:tc>
          <w:tcPr>
            <w:tcW w:w="666" w:type="dxa"/>
            <w:hideMark/>
          </w:tcPr>
          <w:p w14:paraId="4CCDC26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0CA8A13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3C3CCD9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03A7C5D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565D947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5F16288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701E51F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563C033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5753562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331BF5F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2B81DF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C622B4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D24070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23F75054"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55C85BEF"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Nigeria</w:t>
            </w:r>
          </w:p>
        </w:tc>
        <w:tc>
          <w:tcPr>
            <w:tcW w:w="666" w:type="dxa"/>
            <w:hideMark/>
          </w:tcPr>
          <w:p w14:paraId="027BBEE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F8C1B3"/>
            <w:hideMark/>
          </w:tcPr>
          <w:p w14:paraId="6057B76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88" w:type="dxa"/>
            <w:hideMark/>
          </w:tcPr>
          <w:p w14:paraId="2022C9B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71A0B11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3CB7A49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6C32F74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F8C1B3"/>
            <w:hideMark/>
          </w:tcPr>
          <w:p w14:paraId="7A4502E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22" w:type="dxa"/>
            <w:hideMark/>
          </w:tcPr>
          <w:p w14:paraId="448D6D6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88BAE6" w:themeFill="accent2"/>
            <w:hideMark/>
          </w:tcPr>
          <w:p w14:paraId="00AACA4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hideMark/>
          </w:tcPr>
          <w:p w14:paraId="331EF90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6448FA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F8C1B3"/>
            <w:hideMark/>
          </w:tcPr>
          <w:p w14:paraId="4F49018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8" w:type="dxa"/>
            <w:hideMark/>
          </w:tcPr>
          <w:p w14:paraId="3ECB9A9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0D3BED74"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1D17171"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Rwanda</w:t>
            </w:r>
          </w:p>
        </w:tc>
        <w:tc>
          <w:tcPr>
            <w:tcW w:w="666" w:type="dxa"/>
            <w:hideMark/>
          </w:tcPr>
          <w:p w14:paraId="3AF9EE7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213E331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6A3A7D0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0DB4B8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57EE9AD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hideMark/>
          </w:tcPr>
          <w:p w14:paraId="77B8226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6E0C5E2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6B85A3F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00EFF67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88BAE6" w:themeFill="accent2"/>
            <w:hideMark/>
          </w:tcPr>
          <w:p w14:paraId="10CE6AC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59E3155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7B6365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244F31F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5F4B9348"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F113B21" w14:textId="5861E07D" w:rsidR="007771A7" w:rsidRPr="00D83686" w:rsidRDefault="00784FC8"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São Tomé and Príncipe</w:t>
            </w:r>
          </w:p>
        </w:tc>
        <w:tc>
          <w:tcPr>
            <w:tcW w:w="666" w:type="dxa"/>
            <w:hideMark/>
          </w:tcPr>
          <w:p w14:paraId="63163F7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678DE0A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48F0E68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CC96E5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3699CAA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5004F7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37F5908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62B64E0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06DC4B3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F8C1B3"/>
            <w:hideMark/>
          </w:tcPr>
          <w:p w14:paraId="4C3E73A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61" w:type="dxa"/>
            <w:hideMark/>
          </w:tcPr>
          <w:p w14:paraId="12E8362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17301A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64139BC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4017E826"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715E0C44"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Senegal</w:t>
            </w:r>
          </w:p>
        </w:tc>
        <w:tc>
          <w:tcPr>
            <w:tcW w:w="666" w:type="dxa"/>
            <w:shd w:val="clear" w:color="auto" w:fill="88BAE6" w:themeFill="accent2"/>
            <w:hideMark/>
          </w:tcPr>
          <w:p w14:paraId="4009881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9" w:type="dxa"/>
            <w:hideMark/>
          </w:tcPr>
          <w:p w14:paraId="48B77A4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shd w:val="clear" w:color="auto" w:fill="88BAE6" w:themeFill="accent2"/>
            <w:hideMark/>
          </w:tcPr>
          <w:p w14:paraId="41DBDDE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2ADC990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88BAE6" w:themeFill="accent2"/>
            <w:hideMark/>
          </w:tcPr>
          <w:p w14:paraId="6BE828B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97" w:type="dxa"/>
            <w:shd w:val="clear" w:color="auto" w:fill="88BAE6" w:themeFill="accent2"/>
            <w:hideMark/>
          </w:tcPr>
          <w:p w14:paraId="446DE52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6" w:type="dxa"/>
            <w:shd w:val="clear" w:color="auto" w:fill="88BAE6" w:themeFill="accent2"/>
            <w:hideMark/>
          </w:tcPr>
          <w:p w14:paraId="46FC83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22" w:type="dxa"/>
            <w:shd w:val="clear" w:color="auto" w:fill="88BAE6" w:themeFill="accent2"/>
            <w:hideMark/>
          </w:tcPr>
          <w:p w14:paraId="6060B96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9" w:type="dxa"/>
            <w:shd w:val="clear" w:color="auto" w:fill="88BAE6" w:themeFill="accent2"/>
            <w:hideMark/>
          </w:tcPr>
          <w:p w14:paraId="79B4C61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shd w:val="clear" w:color="auto" w:fill="88BAE6" w:themeFill="accent2"/>
            <w:hideMark/>
          </w:tcPr>
          <w:p w14:paraId="271FF98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10B4B17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F08307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8390F9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47A2D950"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7031E0FA"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Sierra Leone</w:t>
            </w:r>
          </w:p>
        </w:tc>
        <w:tc>
          <w:tcPr>
            <w:tcW w:w="666" w:type="dxa"/>
            <w:shd w:val="clear" w:color="auto" w:fill="F8C1B3"/>
            <w:hideMark/>
          </w:tcPr>
          <w:p w14:paraId="4490DB9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04452AF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6C8E09E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201F3B1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692A962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21D03EB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D031B2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shd w:val="clear" w:color="auto" w:fill="F8C1B3"/>
            <w:hideMark/>
          </w:tcPr>
          <w:p w14:paraId="0B352F6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9" w:type="dxa"/>
            <w:hideMark/>
          </w:tcPr>
          <w:p w14:paraId="1268A83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88BAE6" w:themeFill="accent2"/>
            <w:hideMark/>
          </w:tcPr>
          <w:p w14:paraId="540ADE8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1" w:type="dxa"/>
            <w:hideMark/>
          </w:tcPr>
          <w:p w14:paraId="400723D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6CF6467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3EFB3EB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507B0C2B"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D77A72E"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Somalia</w:t>
            </w:r>
          </w:p>
        </w:tc>
        <w:tc>
          <w:tcPr>
            <w:tcW w:w="666" w:type="dxa"/>
            <w:hideMark/>
          </w:tcPr>
          <w:p w14:paraId="025576B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shd w:val="clear" w:color="auto" w:fill="F8C1B3"/>
            <w:hideMark/>
          </w:tcPr>
          <w:p w14:paraId="23B9012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88" w:type="dxa"/>
            <w:hideMark/>
          </w:tcPr>
          <w:p w14:paraId="0B6D525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BFCAE0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27ADBF0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F8734A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10FBF03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C3A558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54EEF73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6E8E485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37A82F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6DFEB7F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FE432B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535E7EE4"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1B8EBE77"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South Africa</w:t>
            </w:r>
          </w:p>
        </w:tc>
        <w:tc>
          <w:tcPr>
            <w:tcW w:w="666" w:type="dxa"/>
            <w:hideMark/>
          </w:tcPr>
          <w:p w14:paraId="4E2DA3D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47F322F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590DF2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1CDC65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3E3DE18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6701B22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88BAE6" w:themeFill="accent2"/>
            <w:hideMark/>
          </w:tcPr>
          <w:p w14:paraId="471DB37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22" w:type="dxa"/>
            <w:hideMark/>
          </w:tcPr>
          <w:p w14:paraId="597B399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75C5F3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5DBEB91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8D0ADC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8A8A5F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78F4689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2B76F08D"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6B36D6A7"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South Sudan</w:t>
            </w:r>
          </w:p>
        </w:tc>
        <w:tc>
          <w:tcPr>
            <w:tcW w:w="666" w:type="dxa"/>
            <w:shd w:val="clear" w:color="auto" w:fill="F8C1B3"/>
            <w:hideMark/>
          </w:tcPr>
          <w:p w14:paraId="31D5BF1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70111A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B3DA91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78E004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4DAD5A7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0E755E2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7AACC5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7E6E50A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9197DE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11FFA90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1803A45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5EC5808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59E1188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6848929F"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CF70E38"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Sudan</w:t>
            </w:r>
          </w:p>
        </w:tc>
        <w:tc>
          <w:tcPr>
            <w:tcW w:w="666" w:type="dxa"/>
            <w:shd w:val="clear" w:color="auto" w:fill="F8C1B3"/>
            <w:hideMark/>
          </w:tcPr>
          <w:p w14:paraId="7CE9284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17BAEC8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7910F4D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1A8E01B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54E3F3F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814011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427A6A1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6D4561B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19C30732"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69F7CEE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62CA11B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F8C1B3"/>
            <w:hideMark/>
          </w:tcPr>
          <w:p w14:paraId="7D15AAF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8" w:type="dxa"/>
            <w:hideMark/>
          </w:tcPr>
          <w:p w14:paraId="434C7C4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039B4348"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32DCE01"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Tanzania</w:t>
            </w:r>
          </w:p>
        </w:tc>
        <w:tc>
          <w:tcPr>
            <w:tcW w:w="666" w:type="dxa"/>
            <w:hideMark/>
          </w:tcPr>
          <w:p w14:paraId="4F44D9F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1F6A141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4391CE3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BA1B4C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15A02B9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shd w:val="clear" w:color="auto" w:fill="88BAE6" w:themeFill="accent2"/>
            <w:hideMark/>
          </w:tcPr>
          <w:p w14:paraId="3CB5847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6" w:type="dxa"/>
            <w:hideMark/>
          </w:tcPr>
          <w:p w14:paraId="1AA7BB0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FBF91D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634A3D0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3213BBD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3A19E47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shd w:val="clear" w:color="auto" w:fill="88BAE6" w:themeFill="accent2"/>
            <w:hideMark/>
          </w:tcPr>
          <w:p w14:paraId="0E5EC6B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8" w:type="dxa"/>
            <w:hideMark/>
          </w:tcPr>
          <w:p w14:paraId="64FAC66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63216A0D"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7670C20C"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Togo</w:t>
            </w:r>
          </w:p>
        </w:tc>
        <w:tc>
          <w:tcPr>
            <w:tcW w:w="666" w:type="dxa"/>
            <w:shd w:val="clear" w:color="auto" w:fill="F8C1B3"/>
            <w:hideMark/>
          </w:tcPr>
          <w:p w14:paraId="5ED13C9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39" w:type="dxa"/>
            <w:hideMark/>
          </w:tcPr>
          <w:p w14:paraId="1C0E855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741E003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3DFB453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6B9B96A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4AEFD45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6DB3077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shd w:val="clear" w:color="auto" w:fill="F8C1B3"/>
            <w:hideMark/>
          </w:tcPr>
          <w:p w14:paraId="083260F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709" w:type="dxa"/>
            <w:hideMark/>
          </w:tcPr>
          <w:p w14:paraId="0FBE733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1857DC0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7D9FDAF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8A0364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355042D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13587627"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13EE7228"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Uganda</w:t>
            </w:r>
          </w:p>
        </w:tc>
        <w:tc>
          <w:tcPr>
            <w:tcW w:w="666" w:type="dxa"/>
            <w:hideMark/>
          </w:tcPr>
          <w:p w14:paraId="3D9E1E8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7607060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067E14B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2DEDFE9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hideMark/>
          </w:tcPr>
          <w:p w14:paraId="1E4D74C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1C84A79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shd w:val="clear" w:color="auto" w:fill="88BAE6" w:themeFill="accent2"/>
            <w:hideMark/>
          </w:tcPr>
          <w:p w14:paraId="281D39E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22" w:type="dxa"/>
            <w:hideMark/>
          </w:tcPr>
          <w:p w14:paraId="0442E65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158AD9B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hideMark/>
          </w:tcPr>
          <w:p w14:paraId="0ACF19F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46242CC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4D7183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shd w:val="clear" w:color="auto" w:fill="88BAE6" w:themeFill="accent2"/>
            <w:hideMark/>
          </w:tcPr>
          <w:p w14:paraId="7AC9308C"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r>
      <w:tr w:rsidR="00D83686" w:rsidRPr="00715296" w14:paraId="4531231D"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43B9836B"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Zambia</w:t>
            </w:r>
          </w:p>
        </w:tc>
        <w:tc>
          <w:tcPr>
            <w:tcW w:w="666" w:type="dxa"/>
            <w:hideMark/>
          </w:tcPr>
          <w:p w14:paraId="3EF3842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9" w:type="dxa"/>
            <w:hideMark/>
          </w:tcPr>
          <w:p w14:paraId="1F209AD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40DFF99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shd w:val="clear" w:color="auto" w:fill="88BAE6" w:themeFill="accent2"/>
            <w:hideMark/>
          </w:tcPr>
          <w:p w14:paraId="6B765856"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5" w:type="dxa"/>
            <w:hideMark/>
          </w:tcPr>
          <w:p w14:paraId="3627D693"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97" w:type="dxa"/>
            <w:hideMark/>
          </w:tcPr>
          <w:p w14:paraId="315F9EA5"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6" w:type="dxa"/>
            <w:hideMark/>
          </w:tcPr>
          <w:p w14:paraId="3C55E03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45880B6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shd w:val="clear" w:color="auto" w:fill="88BAE6" w:themeFill="accent2"/>
            <w:hideMark/>
          </w:tcPr>
          <w:p w14:paraId="0F2B4631"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704" w:type="dxa"/>
            <w:hideMark/>
          </w:tcPr>
          <w:p w14:paraId="0A30875E"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02C5D22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7A1BF41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hideMark/>
          </w:tcPr>
          <w:p w14:paraId="1D6EF81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r>
      <w:tr w:rsidR="00D83686" w:rsidRPr="00715296" w14:paraId="22BA8DC5" w14:textId="77777777" w:rsidTr="00D83686">
        <w:trPr>
          <w:trHeight w:hRule="exact" w:val="454"/>
        </w:trPr>
        <w:tc>
          <w:tcPr>
            <w:cnfStyle w:val="001000000000" w:firstRow="0" w:lastRow="0" w:firstColumn="1" w:lastColumn="0" w:oddVBand="0" w:evenVBand="0" w:oddHBand="0" w:evenHBand="0" w:firstRowFirstColumn="0" w:firstRowLastColumn="0" w:lastRowFirstColumn="0" w:lastRowLastColumn="0"/>
            <w:tcW w:w="1247" w:type="dxa"/>
            <w:hideMark/>
          </w:tcPr>
          <w:p w14:paraId="091CDA51" w14:textId="77777777" w:rsidR="007771A7" w:rsidRPr="00D83686" w:rsidRDefault="007771A7" w:rsidP="00582C7D">
            <w:pPr>
              <w:pStyle w:val="Tabletext"/>
              <w:framePr w:hSpace="0" w:wrap="auto" w:vAnchor="margin" w:hAnchor="text" w:xAlign="left" w:yAlign="inline"/>
              <w:rPr>
                <w:rFonts w:ascii="Times New Roman" w:hAnsi="Times New Roman" w:cs="Times New Roman"/>
                <w:color w:val="auto"/>
                <w:szCs w:val="18"/>
              </w:rPr>
            </w:pPr>
            <w:r w:rsidRPr="00D83686">
              <w:rPr>
                <w:szCs w:val="18"/>
              </w:rPr>
              <w:t>Zimbabwe</w:t>
            </w:r>
          </w:p>
        </w:tc>
        <w:tc>
          <w:tcPr>
            <w:tcW w:w="666" w:type="dxa"/>
            <w:shd w:val="clear" w:color="auto" w:fill="88BAE6" w:themeFill="accent2"/>
            <w:hideMark/>
          </w:tcPr>
          <w:p w14:paraId="32F0138B"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39" w:type="dxa"/>
            <w:hideMark/>
          </w:tcPr>
          <w:p w14:paraId="3F2A853A"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88" w:type="dxa"/>
            <w:hideMark/>
          </w:tcPr>
          <w:p w14:paraId="5D45D1B8"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61" w:type="dxa"/>
            <w:hideMark/>
          </w:tcPr>
          <w:p w14:paraId="5A8B5CE7"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35" w:type="dxa"/>
            <w:shd w:val="clear" w:color="auto" w:fill="F8C1B3"/>
            <w:hideMark/>
          </w:tcPr>
          <w:p w14:paraId="2F77FAB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97" w:type="dxa"/>
            <w:shd w:val="clear" w:color="auto" w:fill="88BAE6" w:themeFill="accent2"/>
            <w:hideMark/>
          </w:tcPr>
          <w:p w14:paraId="28D8F39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c>
          <w:tcPr>
            <w:tcW w:w="666" w:type="dxa"/>
            <w:hideMark/>
          </w:tcPr>
          <w:p w14:paraId="26052CB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22" w:type="dxa"/>
            <w:hideMark/>
          </w:tcPr>
          <w:p w14:paraId="2F921C7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9" w:type="dxa"/>
            <w:hideMark/>
          </w:tcPr>
          <w:p w14:paraId="1359BCFF"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4" w:type="dxa"/>
            <w:shd w:val="clear" w:color="auto" w:fill="F8C1B3"/>
            <w:hideMark/>
          </w:tcPr>
          <w:p w14:paraId="74B440F9"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MICS</w:t>
            </w:r>
          </w:p>
        </w:tc>
        <w:tc>
          <w:tcPr>
            <w:tcW w:w="661" w:type="dxa"/>
            <w:hideMark/>
          </w:tcPr>
          <w:p w14:paraId="422D9574"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619" w:type="dxa"/>
            <w:hideMark/>
          </w:tcPr>
          <w:p w14:paraId="69CB6CDD"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 </w:t>
            </w:r>
          </w:p>
        </w:tc>
        <w:tc>
          <w:tcPr>
            <w:tcW w:w="708" w:type="dxa"/>
            <w:shd w:val="clear" w:color="auto" w:fill="88BAE6" w:themeFill="accent2"/>
            <w:hideMark/>
          </w:tcPr>
          <w:p w14:paraId="3C1C3F70" w14:textId="77777777" w:rsidR="007771A7" w:rsidRPr="00D83686" w:rsidRDefault="007771A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83686">
              <w:rPr>
                <w:szCs w:val="18"/>
              </w:rPr>
              <w:t>DHS</w:t>
            </w:r>
          </w:p>
        </w:tc>
      </w:tr>
    </w:tbl>
    <w:p w14:paraId="7747C836" w14:textId="3C3AF7F2" w:rsidR="00BE7C2A" w:rsidRPr="00516E20" w:rsidRDefault="009B6547" w:rsidP="0025301F">
      <w:pPr>
        <w:pStyle w:val="Source"/>
      </w:pPr>
      <w:r w:rsidRPr="00516E20">
        <w:t>Source</w:t>
      </w:r>
      <w:r w:rsidR="0060462F">
        <w:t xml:space="preserve">s: </w:t>
      </w:r>
      <w:r w:rsidRPr="00516E20">
        <w:t>DHS Program</w:t>
      </w:r>
      <w:r w:rsidR="0060462F">
        <w:t>,</w:t>
      </w:r>
      <w:r w:rsidRPr="00516E20">
        <w:t xml:space="preserve"> </w:t>
      </w:r>
      <w:hyperlink r:id="rId14" w:history="1">
        <w:r w:rsidR="0060462F" w:rsidRPr="00BB033F">
          <w:rPr>
            <w:rStyle w:val="Hyperlink"/>
            <w:color w:val="453F43" w:themeColor="background2"/>
          </w:rPr>
          <w:t>https://dhsprogram.com/Countries/</w:t>
        </w:r>
      </w:hyperlink>
      <w:r w:rsidR="0060462F" w:rsidRPr="00BB033F">
        <w:rPr>
          <w:rStyle w:val="Hyperlink"/>
          <w:color w:val="453F43" w:themeColor="background2"/>
        </w:rPr>
        <w:t>,</w:t>
      </w:r>
      <w:r w:rsidR="0060462F" w:rsidRPr="00516E20">
        <w:t xml:space="preserve"> </w:t>
      </w:r>
      <w:r w:rsidRPr="00516E20">
        <w:t>and UNICEF MICS</w:t>
      </w:r>
      <w:r w:rsidR="0060462F">
        <w:t>,</w:t>
      </w:r>
      <w:r w:rsidRPr="00516E20">
        <w:t xml:space="preserve"> </w:t>
      </w:r>
      <w:hyperlink r:id="rId15" w:history="1">
        <w:r w:rsidRPr="00BB033F">
          <w:rPr>
            <w:rStyle w:val="Hyperlink"/>
            <w:color w:val="453F43" w:themeColor="background2"/>
          </w:rPr>
          <w:t>https://mics.unicef.org/surveys</w:t>
        </w:r>
      </w:hyperlink>
    </w:p>
    <w:p w14:paraId="12B1421D" w14:textId="510810FD" w:rsidR="009B6547" w:rsidRDefault="009B6547">
      <w:pPr>
        <w:spacing w:before="0" w:line="240" w:lineRule="auto"/>
        <w:rPr>
          <w:lang w:eastAsia="en-GB"/>
        </w:rPr>
      </w:pPr>
      <w:r>
        <w:rPr>
          <w:lang w:eastAsia="en-GB"/>
        </w:rPr>
        <w:br w:type="page"/>
      </w:r>
    </w:p>
    <w:tbl>
      <w:tblPr>
        <w:tblStyle w:val="DItable"/>
        <w:tblW w:w="0" w:type="auto"/>
        <w:tblLook w:val="04A0" w:firstRow="1" w:lastRow="0" w:firstColumn="1" w:lastColumn="0" w:noHBand="0" w:noVBand="1"/>
      </w:tblPr>
      <w:tblGrid>
        <w:gridCol w:w="851"/>
        <w:gridCol w:w="5386"/>
        <w:gridCol w:w="1690"/>
      </w:tblGrid>
      <w:tr w:rsidR="0068302D" w14:paraId="2730291C" w14:textId="77777777" w:rsidTr="00BB0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8ACC" w:themeColor="accent1"/>
              <w:bottom w:val="single" w:sz="8" w:space="0" w:color="008ACC" w:themeColor="accent1"/>
            </w:tcBorders>
            <w:shd w:val="clear" w:color="auto" w:fill="FFFFFF" w:themeFill="background1"/>
          </w:tcPr>
          <w:p w14:paraId="36E854C0" w14:textId="77777777" w:rsidR="0068302D" w:rsidRPr="00BB033F" w:rsidRDefault="0068302D" w:rsidP="0068302D">
            <w:pPr>
              <w:pStyle w:val="TableHead"/>
              <w:framePr w:wrap="around"/>
              <w:spacing w:before="0"/>
              <w:rPr>
                <w:color w:val="453F43" w:themeColor="background2"/>
              </w:rPr>
            </w:pPr>
            <w:r w:rsidRPr="00BB033F">
              <w:rPr>
                <w:color w:val="453F43" w:themeColor="background2"/>
              </w:rPr>
              <w:lastRenderedPageBreak/>
              <w:t>Latest</w:t>
            </w:r>
          </w:p>
        </w:tc>
        <w:tc>
          <w:tcPr>
            <w:tcW w:w="5386" w:type="dxa"/>
            <w:tcBorders>
              <w:top w:val="single" w:sz="8" w:space="0" w:color="008ACC" w:themeColor="accent1"/>
              <w:bottom w:val="single" w:sz="8" w:space="0" w:color="008ACC" w:themeColor="accent1"/>
            </w:tcBorders>
            <w:shd w:val="clear" w:color="auto" w:fill="FFFFFF" w:themeFill="background1"/>
          </w:tcPr>
          <w:p w14:paraId="0A082D69" w14:textId="77777777" w:rsidR="0068302D" w:rsidRPr="00BB033F" w:rsidRDefault="0068302D" w:rsidP="0068302D">
            <w:pPr>
              <w:pStyle w:val="TableHead"/>
              <w:framePr w:wrap="around"/>
              <w:spacing w:before="0"/>
              <w:cnfStyle w:val="100000000000" w:firstRow="1" w:lastRow="0" w:firstColumn="0" w:lastColumn="0" w:oddVBand="0" w:evenVBand="0" w:oddHBand="0" w:evenHBand="0" w:firstRowFirstColumn="0" w:firstRowLastColumn="0" w:lastRowFirstColumn="0" w:lastRowLastColumn="0"/>
              <w:rPr>
                <w:color w:val="453F43" w:themeColor="background2"/>
              </w:rPr>
            </w:pPr>
            <w:r w:rsidRPr="00BB033F">
              <w:rPr>
                <w:color w:val="453F43" w:themeColor="background2"/>
              </w:rPr>
              <w:t>Name</w:t>
            </w:r>
          </w:p>
        </w:tc>
        <w:tc>
          <w:tcPr>
            <w:tcW w:w="1690" w:type="dxa"/>
            <w:tcBorders>
              <w:top w:val="single" w:sz="8" w:space="0" w:color="008ACC" w:themeColor="accent1"/>
              <w:bottom w:val="single" w:sz="8" w:space="0" w:color="008ACC" w:themeColor="accent1"/>
            </w:tcBorders>
            <w:shd w:val="clear" w:color="auto" w:fill="FFFFFF" w:themeFill="background1"/>
          </w:tcPr>
          <w:p w14:paraId="76C2B895" w14:textId="77777777" w:rsidR="0068302D" w:rsidRPr="00BB033F" w:rsidRDefault="0068302D" w:rsidP="0068302D">
            <w:pPr>
              <w:pStyle w:val="TableHead"/>
              <w:framePr w:wrap="around"/>
              <w:spacing w:before="0"/>
              <w:cnfStyle w:val="100000000000" w:firstRow="1" w:lastRow="0" w:firstColumn="0" w:lastColumn="0" w:oddVBand="0" w:evenVBand="0" w:oddHBand="0" w:evenHBand="0" w:firstRowFirstColumn="0" w:firstRowLastColumn="0" w:lastRowFirstColumn="0" w:lastRowLastColumn="0"/>
              <w:rPr>
                <w:color w:val="453F43" w:themeColor="background2"/>
              </w:rPr>
            </w:pPr>
            <w:r w:rsidRPr="00BB033F">
              <w:rPr>
                <w:color w:val="453F43" w:themeColor="background2"/>
              </w:rPr>
              <w:t>Geographic disaggregation</w:t>
            </w:r>
          </w:p>
        </w:tc>
      </w:tr>
    </w:tbl>
    <w:p w14:paraId="3D8098EB" w14:textId="6FE312B3" w:rsidR="00BE7C2A" w:rsidRDefault="00516E20" w:rsidP="00BB033F">
      <w:pPr>
        <w:pStyle w:val="Tabletitle"/>
      </w:pPr>
      <w:r>
        <w:t xml:space="preserve">Table 2: </w:t>
      </w:r>
      <w:r w:rsidR="009B6547" w:rsidRPr="009B6547">
        <w:t>Surveys conducted in Zimbabwe between 2009 and 2018</w:t>
      </w:r>
    </w:p>
    <w:tbl>
      <w:tblPr>
        <w:tblStyle w:val="DItable"/>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851"/>
        <w:gridCol w:w="5386"/>
        <w:gridCol w:w="1690"/>
      </w:tblGrid>
      <w:tr w:rsidR="00B84D39" w14:paraId="5AB62082" w14:textId="77777777" w:rsidTr="00552B8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tcPr>
          <w:p w14:paraId="7EB3B8DC" w14:textId="656E4BC4" w:rsidR="00B84D39" w:rsidRPr="00552B81" w:rsidRDefault="00B84D39" w:rsidP="00CD3743">
            <w:pPr>
              <w:spacing w:before="120"/>
              <w:rPr>
                <w:rFonts w:asciiTheme="minorHAnsi" w:hAnsiTheme="minorHAnsi" w:cstheme="minorHAnsi"/>
                <w:b w:val="0"/>
                <w:bCs/>
                <w:sz w:val="18"/>
                <w:szCs w:val="18"/>
              </w:rPr>
            </w:pPr>
            <w:r w:rsidRPr="00552B81">
              <w:rPr>
                <w:rFonts w:asciiTheme="minorHAnsi" w:hAnsiTheme="minorHAnsi" w:cstheme="minorHAnsi"/>
                <w:b w:val="0"/>
                <w:bCs/>
                <w:sz w:val="18"/>
                <w:szCs w:val="18"/>
              </w:rPr>
              <w:t>2009</w:t>
            </w:r>
          </w:p>
        </w:tc>
        <w:tc>
          <w:tcPr>
            <w:tcW w:w="5386" w:type="dxa"/>
            <w:shd w:val="clear" w:color="auto" w:fill="FFFFFF" w:themeFill="background1"/>
          </w:tcPr>
          <w:p w14:paraId="4FC7C4CF" w14:textId="535D9543" w:rsidR="00B84D39" w:rsidRPr="00552B81" w:rsidRDefault="00B84D39" w:rsidP="00CD3743">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18"/>
                <w:szCs w:val="18"/>
              </w:rPr>
            </w:pPr>
            <w:r w:rsidRPr="00552B81">
              <w:rPr>
                <w:rFonts w:asciiTheme="minorHAnsi" w:hAnsiTheme="minorHAnsi" w:cstheme="minorHAnsi"/>
                <w:b w:val="0"/>
                <w:bCs/>
                <w:sz w:val="18"/>
                <w:szCs w:val="18"/>
              </w:rPr>
              <w:t>Multiple Indicator Cluster Survey</w:t>
            </w:r>
          </w:p>
        </w:tc>
        <w:tc>
          <w:tcPr>
            <w:tcW w:w="1690" w:type="dxa"/>
            <w:shd w:val="clear" w:color="auto" w:fill="FFFFFF" w:themeFill="background1"/>
          </w:tcPr>
          <w:p w14:paraId="3DD620D3" w14:textId="48341D3B" w:rsidR="00B84D39" w:rsidRPr="00552B81" w:rsidRDefault="00B84D39" w:rsidP="00CD3743">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18"/>
                <w:szCs w:val="18"/>
              </w:rPr>
            </w:pPr>
            <w:r w:rsidRPr="00552B81">
              <w:rPr>
                <w:rFonts w:asciiTheme="minorHAnsi" w:hAnsiTheme="minorHAnsi" w:cstheme="minorHAnsi"/>
                <w:b w:val="0"/>
                <w:bCs/>
                <w:sz w:val="18"/>
                <w:szCs w:val="18"/>
              </w:rPr>
              <w:t>District</w:t>
            </w:r>
          </w:p>
        </w:tc>
      </w:tr>
      <w:tr w:rsidR="00B84D39" w14:paraId="56D3040C"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1809FD9C" w14:textId="12523DDF"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2010</w:t>
            </w:r>
          </w:p>
        </w:tc>
        <w:tc>
          <w:tcPr>
            <w:tcW w:w="5386" w:type="dxa"/>
          </w:tcPr>
          <w:p w14:paraId="5253101B" w14:textId="781C5AE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Business Tendency Survey</w:t>
            </w:r>
          </w:p>
        </w:tc>
        <w:tc>
          <w:tcPr>
            <w:tcW w:w="1690" w:type="dxa"/>
          </w:tcPr>
          <w:p w14:paraId="579DABC2" w14:textId="72D7D69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13DC880A"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84F20A4" w14:textId="5D5018C6"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2010</w:t>
            </w:r>
          </w:p>
        </w:tc>
        <w:tc>
          <w:tcPr>
            <w:tcW w:w="5386" w:type="dxa"/>
          </w:tcPr>
          <w:p w14:paraId="0EA41D15" w14:textId="64D34D80"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ICT business surveys</w:t>
            </w:r>
          </w:p>
        </w:tc>
        <w:tc>
          <w:tcPr>
            <w:tcW w:w="1690" w:type="dxa"/>
          </w:tcPr>
          <w:p w14:paraId="48FC5883" w14:textId="1951251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1D4727FB"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0E5B9112" w14:textId="59085A96"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2011</w:t>
            </w:r>
          </w:p>
        </w:tc>
        <w:tc>
          <w:tcPr>
            <w:tcW w:w="5386" w:type="dxa"/>
          </w:tcPr>
          <w:p w14:paraId="69D9242C" w14:textId="30882308"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Child Labour Survey (Part of Labour Force Surveys)</w:t>
            </w:r>
          </w:p>
        </w:tc>
        <w:tc>
          <w:tcPr>
            <w:tcW w:w="1690" w:type="dxa"/>
          </w:tcPr>
          <w:p w14:paraId="4A4D9482" w14:textId="71B4AB0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0C1D0703"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4DD5791C" w14:textId="3B11B2BD"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2011</w:t>
            </w:r>
          </w:p>
        </w:tc>
        <w:tc>
          <w:tcPr>
            <w:tcW w:w="5386" w:type="dxa"/>
          </w:tcPr>
          <w:p w14:paraId="11941877" w14:textId="4E82A9F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National baseline survey on life experiences of adolescents</w:t>
            </w:r>
          </w:p>
        </w:tc>
        <w:tc>
          <w:tcPr>
            <w:tcW w:w="1690" w:type="dxa"/>
          </w:tcPr>
          <w:p w14:paraId="797B5948" w14:textId="51AFE36B"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11A0224B"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50A2A846" w14:textId="63B456DC"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2011</w:t>
            </w:r>
          </w:p>
        </w:tc>
        <w:tc>
          <w:tcPr>
            <w:tcW w:w="5386" w:type="dxa"/>
          </w:tcPr>
          <w:p w14:paraId="0B1E6963" w14:textId="187531B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Survey on violence against children</w:t>
            </w:r>
          </w:p>
        </w:tc>
        <w:tc>
          <w:tcPr>
            <w:tcW w:w="1690" w:type="dxa"/>
          </w:tcPr>
          <w:p w14:paraId="28BDBA48" w14:textId="6300A2ED"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1FCBAE9"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47504B52" w14:textId="2A774474"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2012</w:t>
            </w:r>
          </w:p>
        </w:tc>
        <w:tc>
          <w:tcPr>
            <w:tcW w:w="5386" w:type="dxa"/>
          </w:tcPr>
          <w:p w14:paraId="6E666BD7" w14:textId="3C89CE4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Census post enumeration survey</w:t>
            </w:r>
          </w:p>
        </w:tc>
        <w:tc>
          <w:tcPr>
            <w:tcW w:w="1690" w:type="dxa"/>
          </w:tcPr>
          <w:p w14:paraId="6A441C40" w14:textId="0DBABC0E"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733A456"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79B598E" w14:textId="4FCD2526"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2013</w:t>
            </w:r>
          </w:p>
        </w:tc>
        <w:tc>
          <w:tcPr>
            <w:tcW w:w="5386" w:type="dxa"/>
          </w:tcPr>
          <w:p w14:paraId="4DC77F6A" w14:textId="0C17084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Zimbabwe Central Business Register Inquiry 2013</w:t>
            </w:r>
          </w:p>
        </w:tc>
        <w:tc>
          <w:tcPr>
            <w:tcW w:w="1690" w:type="dxa"/>
          </w:tcPr>
          <w:p w14:paraId="796FF5BF" w14:textId="6AA4A391"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6C2D8BA0"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3344C22" w14:textId="4923D87A"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2013</w:t>
            </w:r>
          </w:p>
        </w:tc>
        <w:tc>
          <w:tcPr>
            <w:tcW w:w="5386" w:type="dxa"/>
          </w:tcPr>
          <w:p w14:paraId="3859ACD6" w14:textId="7F34A240"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Survey of Services</w:t>
            </w:r>
          </w:p>
        </w:tc>
        <w:tc>
          <w:tcPr>
            <w:tcW w:w="1690" w:type="dxa"/>
          </w:tcPr>
          <w:p w14:paraId="63486A94" w14:textId="21415A9A"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National</w:t>
            </w:r>
          </w:p>
        </w:tc>
      </w:tr>
      <w:tr w:rsidR="00B84D39" w14:paraId="6DFC2418"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2A526D7E" w14:textId="633D8868"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373F31B2" w14:textId="4AA6DC0A"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Labour Force Surveys</w:t>
            </w:r>
          </w:p>
        </w:tc>
        <w:tc>
          <w:tcPr>
            <w:tcW w:w="1690" w:type="dxa"/>
          </w:tcPr>
          <w:p w14:paraId="0E6258FA" w14:textId="7E5458CD"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681CC740"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D018C2D" w14:textId="04DFA344"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3F6B8412" w14:textId="128725AC"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Multiple Indicator Cluster Survey</w:t>
            </w:r>
          </w:p>
        </w:tc>
        <w:tc>
          <w:tcPr>
            <w:tcW w:w="1690" w:type="dxa"/>
          </w:tcPr>
          <w:p w14:paraId="1AB68BC5" w14:textId="65BCF346"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7E3DC495"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3314D56A" w14:textId="1CCDC2B0"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414C2451" w14:textId="1CB28FE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Social Amenities Survey</w:t>
            </w:r>
          </w:p>
        </w:tc>
        <w:tc>
          <w:tcPr>
            <w:tcW w:w="1690" w:type="dxa"/>
          </w:tcPr>
          <w:p w14:paraId="211A04FB" w14:textId="0946C8EA"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34276E31"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22AB7933" w14:textId="7B967D7D"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275550C0" w14:textId="5759255C"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Migration Survey (Part of Labour Force Surveys)</w:t>
            </w:r>
          </w:p>
        </w:tc>
        <w:tc>
          <w:tcPr>
            <w:tcW w:w="1690" w:type="dxa"/>
          </w:tcPr>
          <w:p w14:paraId="0F07AA92" w14:textId="11FB2B7E"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294AE511"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7BB2EC2" w14:textId="6BC037EB"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12FDA3F8" w14:textId="482E2696"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ICT household surveys</w:t>
            </w:r>
          </w:p>
        </w:tc>
        <w:tc>
          <w:tcPr>
            <w:tcW w:w="1690" w:type="dxa"/>
          </w:tcPr>
          <w:p w14:paraId="27880C41" w14:textId="2D8B17D8"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0E57358F"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394293A5" w14:textId="4C1E7AA8"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2014</w:t>
            </w:r>
          </w:p>
        </w:tc>
        <w:tc>
          <w:tcPr>
            <w:tcW w:w="5386" w:type="dxa"/>
          </w:tcPr>
          <w:p w14:paraId="4A26EBF2" w14:textId="485459EB"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Financial Inclusion and Exclusion Survey</w:t>
            </w:r>
          </w:p>
        </w:tc>
        <w:tc>
          <w:tcPr>
            <w:tcW w:w="1690" w:type="dxa"/>
          </w:tcPr>
          <w:p w14:paraId="523675EF" w14:textId="670A72DF"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0D3F6733"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42AE595C" w14:textId="16E5C170"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35A6F0EB" w14:textId="073A92CC"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Zimbabwe Demographic and Health Survey</w:t>
            </w:r>
          </w:p>
        </w:tc>
        <w:tc>
          <w:tcPr>
            <w:tcW w:w="1690" w:type="dxa"/>
          </w:tcPr>
          <w:p w14:paraId="607540AF" w14:textId="6D1E5CEC"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3B527A7"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5466B909" w14:textId="40DFA825"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03D5803D" w14:textId="5F42682F"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Volume of manufacturing surveys</w:t>
            </w:r>
          </w:p>
        </w:tc>
        <w:tc>
          <w:tcPr>
            <w:tcW w:w="1690" w:type="dxa"/>
          </w:tcPr>
          <w:p w14:paraId="30A56234" w14:textId="11A3BDA0"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26E6A4B8"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7BF0570" w14:textId="51AE61D7"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26407660" w14:textId="29EC5038"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Small Town WASH programme baseline survey</w:t>
            </w:r>
          </w:p>
        </w:tc>
        <w:tc>
          <w:tcPr>
            <w:tcW w:w="1690" w:type="dxa"/>
          </w:tcPr>
          <w:p w14:paraId="120A0ECE" w14:textId="69CE496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District</w:t>
            </w:r>
          </w:p>
        </w:tc>
      </w:tr>
      <w:tr w:rsidR="00B84D39" w14:paraId="2436662C"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949DCF0" w14:textId="29E23B06"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21ADE8F0" w14:textId="66FF29C6"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Foreign Private Capital Survey Report</w:t>
            </w:r>
          </w:p>
        </w:tc>
        <w:tc>
          <w:tcPr>
            <w:tcW w:w="1690" w:type="dxa"/>
          </w:tcPr>
          <w:p w14:paraId="27CDFB82" w14:textId="65F26D8A"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National</w:t>
            </w:r>
          </w:p>
        </w:tc>
      </w:tr>
      <w:tr w:rsidR="00B84D39" w14:paraId="6DE94B59"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55FA6573" w14:textId="20613475"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0212C0DA" w14:textId="4C262081"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Trade in Services Survey</w:t>
            </w:r>
          </w:p>
        </w:tc>
        <w:tc>
          <w:tcPr>
            <w:tcW w:w="1690" w:type="dxa"/>
          </w:tcPr>
          <w:p w14:paraId="247D1708" w14:textId="6DB9D0F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National</w:t>
            </w:r>
          </w:p>
        </w:tc>
      </w:tr>
      <w:tr w:rsidR="00B84D39" w14:paraId="04F203D1"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29FC8414" w14:textId="0C91DD30"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2015</w:t>
            </w:r>
          </w:p>
        </w:tc>
        <w:tc>
          <w:tcPr>
            <w:tcW w:w="5386" w:type="dxa"/>
          </w:tcPr>
          <w:p w14:paraId="5763B8B9" w14:textId="52DF24EC"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Agricultural and livestock surveys</w:t>
            </w:r>
          </w:p>
        </w:tc>
        <w:tc>
          <w:tcPr>
            <w:tcW w:w="1690" w:type="dxa"/>
          </w:tcPr>
          <w:p w14:paraId="27B279A9" w14:textId="55984B3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1832D5DF"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53891DF9" w14:textId="4E89B8B8"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2016</w:t>
            </w:r>
          </w:p>
        </w:tc>
        <w:tc>
          <w:tcPr>
            <w:tcW w:w="5386" w:type="dxa"/>
          </w:tcPr>
          <w:p w14:paraId="4E4FCA60" w14:textId="148058D7"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Rural WASH survey</w:t>
            </w:r>
          </w:p>
        </w:tc>
        <w:tc>
          <w:tcPr>
            <w:tcW w:w="1690" w:type="dxa"/>
          </w:tcPr>
          <w:p w14:paraId="66139472" w14:textId="1ADCFC76"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EBF5A1C"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1439A89" w14:textId="2ACDF1DE"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2016</w:t>
            </w:r>
          </w:p>
        </w:tc>
        <w:tc>
          <w:tcPr>
            <w:tcW w:w="5386" w:type="dxa"/>
          </w:tcPr>
          <w:p w14:paraId="498C6165" w14:textId="39C49190"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Waste and water statistics survey</w:t>
            </w:r>
          </w:p>
        </w:tc>
        <w:tc>
          <w:tcPr>
            <w:tcW w:w="1690" w:type="dxa"/>
          </w:tcPr>
          <w:p w14:paraId="298141A0" w14:textId="451118D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DD251CE"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DF0CCD8" w14:textId="3BF25CD9"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2016</w:t>
            </w:r>
          </w:p>
        </w:tc>
        <w:tc>
          <w:tcPr>
            <w:tcW w:w="5386" w:type="dxa"/>
          </w:tcPr>
          <w:p w14:paraId="49EF7128" w14:textId="5BE0D6E2"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Visitor Exit Survey</w:t>
            </w:r>
          </w:p>
        </w:tc>
        <w:tc>
          <w:tcPr>
            <w:tcW w:w="1690" w:type="dxa"/>
          </w:tcPr>
          <w:p w14:paraId="01D4DA96" w14:textId="5BA0851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72636BDB"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8993735" w14:textId="381E1619"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lastRenderedPageBreak/>
              <w:t>2017</w:t>
            </w:r>
          </w:p>
        </w:tc>
        <w:tc>
          <w:tcPr>
            <w:tcW w:w="5386" w:type="dxa"/>
          </w:tcPr>
          <w:p w14:paraId="58E7E842" w14:textId="26A0EA4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Rent and domestic workers surveys</w:t>
            </w:r>
          </w:p>
        </w:tc>
        <w:tc>
          <w:tcPr>
            <w:tcW w:w="1690" w:type="dxa"/>
          </w:tcPr>
          <w:p w14:paraId="53C61D6B" w14:textId="184E1A45"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72DA06E4"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B2DB687" w14:textId="07528024"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53C0508D" w14:textId="030AABF7"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School fees surveys</w:t>
            </w:r>
          </w:p>
        </w:tc>
        <w:tc>
          <w:tcPr>
            <w:tcW w:w="1690" w:type="dxa"/>
          </w:tcPr>
          <w:p w14:paraId="13DF26A3" w14:textId="4B73CFC3"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251F8A48"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31474434" w14:textId="34F64C0D"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16103D9C" w14:textId="67D061E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Poverty Income Consumption and Expenditure Survey</w:t>
            </w:r>
          </w:p>
        </w:tc>
        <w:tc>
          <w:tcPr>
            <w:tcW w:w="1690" w:type="dxa"/>
          </w:tcPr>
          <w:p w14:paraId="08183E6D" w14:textId="4048597F"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2D52EA98"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4608A5DA" w14:textId="329E25AB"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54CF70CA" w14:textId="7817E45D"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Inter-Censal Demographic Survey</w:t>
            </w:r>
          </w:p>
        </w:tc>
        <w:tc>
          <w:tcPr>
            <w:tcW w:w="1690" w:type="dxa"/>
          </w:tcPr>
          <w:p w14:paraId="3526D1FF" w14:textId="47A0BC6B"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5AFD5450"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60FEA395" w14:textId="7C693FCA"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23D66738" w14:textId="23CCECD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Census on ICT access and use by education institutions and health facilities</w:t>
            </w:r>
          </w:p>
        </w:tc>
        <w:tc>
          <w:tcPr>
            <w:tcW w:w="1690" w:type="dxa"/>
          </w:tcPr>
          <w:p w14:paraId="73428BE2" w14:textId="4A66E6FE"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625F394D"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43985A9A" w14:textId="68B88333"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46D8A21B" w14:textId="098E2F12"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Infrastructure Statistics</w:t>
            </w:r>
          </w:p>
        </w:tc>
        <w:tc>
          <w:tcPr>
            <w:tcW w:w="1690" w:type="dxa"/>
          </w:tcPr>
          <w:p w14:paraId="7FCFCFAE" w14:textId="2EB07C76"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B84D39" w14:paraId="2FC3F768"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7A2618CF" w14:textId="43A39A2D"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2017</w:t>
            </w:r>
          </w:p>
        </w:tc>
        <w:tc>
          <w:tcPr>
            <w:tcW w:w="5386" w:type="dxa"/>
          </w:tcPr>
          <w:p w14:paraId="2292B53D" w14:textId="765E8BFB"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Harmonised social cash transfers impact evaluation</w:t>
            </w:r>
          </w:p>
        </w:tc>
        <w:tc>
          <w:tcPr>
            <w:tcW w:w="1690" w:type="dxa"/>
          </w:tcPr>
          <w:p w14:paraId="713F9855" w14:textId="242D2202"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District</w:t>
            </w:r>
          </w:p>
        </w:tc>
      </w:tr>
      <w:tr w:rsidR="00B84D39" w14:paraId="701D8CAF" w14:textId="77777777" w:rsidTr="00552B81">
        <w:trPr>
          <w:trHeight w:val="255"/>
        </w:trPr>
        <w:tc>
          <w:tcPr>
            <w:cnfStyle w:val="001000000000" w:firstRow="0" w:lastRow="0" w:firstColumn="1" w:lastColumn="0" w:oddVBand="0" w:evenVBand="0" w:oddHBand="0" w:evenHBand="0" w:firstRowFirstColumn="0" w:firstRowLastColumn="0" w:lastRowFirstColumn="0" w:lastRowLastColumn="0"/>
            <w:tcW w:w="851" w:type="dxa"/>
          </w:tcPr>
          <w:p w14:paraId="0BF71472" w14:textId="727E6A16" w:rsidR="00B84D39" w:rsidRPr="00CD3743" w:rsidRDefault="00B84D39"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2018</w:t>
            </w:r>
          </w:p>
        </w:tc>
        <w:tc>
          <w:tcPr>
            <w:tcW w:w="5386" w:type="dxa"/>
          </w:tcPr>
          <w:p w14:paraId="20D80DB7" w14:textId="76B8B324"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Consumer surveys</w:t>
            </w:r>
          </w:p>
        </w:tc>
        <w:tc>
          <w:tcPr>
            <w:tcW w:w="1690" w:type="dxa"/>
          </w:tcPr>
          <w:p w14:paraId="1B92F714" w14:textId="26BD74AD" w:rsidR="00B84D39" w:rsidRPr="00CD3743" w:rsidRDefault="00B84D39"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r w:rsidR="00CD3743" w14:paraId="56746C85" w14:textId="77777777" w:rsidTr="00552B81">
        <w:trPr>
          <w:trHeight w:val="501"/>
        </w:trPr>
        <w:tc>
          <w:tcPr>
            <w:cnfStyle w:val="001000000000" w:firstRow="0" w:lastRow="0" w:firstColumn="1" w:lastColumn="0" w:oddVBand="0" w:evenVBand="0" w:oddHBand="0" w:evenHBand="0" w:firstRowFirstColumn="0" w:firstRowLastColumn="0" w:lastRowFirstColumn="0" w:lastRowLastColumn="0"/>
            <w:tcW w:w="851" w:type="dxa"/>
          </w:tcPr>
          <w:p w14:paraId="1F0690DB" w14:textId="5016FAEE" w:rsidR="00CD3743" w:rsidRPr="00CD3743" w:rsidRDefault="00CD3743" w:rsidP="00CD3743">
            <w:pPr>
              <w:spacing w:before="120"/>
              <w:rPr>
                <w:rFonts w:asciiTheme="minorHAnsi" w:hAnsiTheme="minorHAnsi" w:cstheme="minorHAnsi"/>
                <w:sz w:val="18"/>
                <w:szCs w:val="18"/>
              </w:rPr>
            </w:pPr>
            <w:r w:rsidRPr="00CD3743">
              <w:rPr>
                <w:rFonts w:asciiTheme="minorHAnsi" w:hAnsiTheme="minorHAnsi" w:cstheme="minorHAnsi"/>
                <w:sz w:val="18"/>
                <w:szCs w:val="18"/>
              </w:rPr>
              <w:t>2018</w:t>
            </w:r>
          </w:p>
        </w:tc>
        <w:tc>
          <w:tcPr>
            <w:tcW w:w="5386" w:type="dxa"/>
          </w:tcPr>
          <w:p w14:paraId="59EFF6E7" w14:textId="00A2BEC1" w:rsidR="00CD3743" w:rsidRPr="00CD3743" w:rsidRDefault="00CD3743"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Domestic and outbound tourism survey</w:t>
            </w:r>
          </w:p>
        </w:tc>
        <w:tc>
          <w:tcPr>
            <w:tcW w:w="1690" w:type="dxa"/>
          </w:tcPr>
          <w:p w14:paraId="65DFD17C" w14:textId="042AC785" w:rsidR="00CD3743" w:rsidRPr="00CD3743" w:rsidRDefault="00CD3743" w:rsidP="00CD3743">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3743">
              <w:rPr>
                <w:rFonts w:asciiTheme="minorHAnsi" w:hAnsiTheme="minorHAnsi" w:cstheme="minorHAnsi"/>
                <w:sz w:val="18"/>
                <w:szCs w:val="18"/>
              </w:rPr>
              <w:t>Province</w:t>
            </w:r>
          </w:p>
        </w:tc>
      </w:tr>
    </w:tbl>
    <w:p w14:paraId="280398FE" w14:textId="25DB99C0" w:rsidR="009B6547" w:rsidRPr="00BE7C2A" w:rsidRDefault="00F178C2" w:rsidP="0025301F">
      <w:pPr>
        <w:pStyle w:val="Source"/>
        <w:rPr>
          <w:lang w:eastAsia="en-GB"/>
        </w:rPr>
      </w:pPr>
      <w:r>
        <w:t>Source: D</w:t>
      </w:r>
      <w:r w:rsidR="001003E0">
        <w:t xml:space="preserve">evelopment </w:t>
      </w:r>
      <w:r>
        <w:t>I</w:t>
      </w:r>
      <w:r w:rsidR="001003E0">
        <w:t>nit</w:t>
      </w:r>
      <w:r w:rsidR="00F11B27">
        <w:t>i</w:t>
      </w:r>
      <w:r w:rsidR="001003E0">
        <w:t>atives,</w:t>
      </w:r>
      <w:r>
        <w:t xml:space="preserve"> unpublished research on behalf of UNICEF</w:t>
      </w:r>
      <w:r w:rsidR="00516E20">
        <w:t>.</w:t>
      </w:r>
    </w:p>
    <w:p w14:paraId="5975A3A7" w14:textId="48BF367B" w:rsidR="00F178C2" w:rsidRDefault="00F178C2">
      <w:pPr>
        <w:spacing w:before="0" w:line="240" w:lineRule="auto"/>
      </w:pPr>
      <w:r>
        <w:br w:type="page"/>
      </w:r>
    </w:p>
    <w:p w14:paraId="525D4ADF" w14:textId="18B0797C" w:rsidR="0068302D" w:rsidRDefault="0068302D" w:rsidP="00BB033F">
      <w:pPr>
        <w:pStyle w:val="Tabletitle"/>
      </w:pPr>
      <w:r w:rsidRPr="0068302D">
        <w:lastRenderedPageBreak/>
        <w:t>Table 3: Data collection for skilled attendance at birth indicator in Bangladesh</w:t>
      </w:r>
    </w:p>
    <w:p w14:paraId="45314265" w14:textId="77777777" w:rsidR="0068302D" w:rsidRPr="0068302D" w:rsidRDefault="0068302D" w:rsidP="0068302D">
      <w:pPr>
        <w:spacing w:before="0"/>
        <w:rPr>
          <w:lang w:eastAsia="en-GB"/>
        </w:rPr>
      </w:pPr>
    </w:p>
    <w:tbl>
      <w:tblPr>
        <w:tblStyle w:val="DItable"/>
        <w:tblpPr w:leftFromText="180" w:rightFromText="180" w:vertAnchor="text" w:horzAnchor="margin" w:tblpY="-34"/>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1777"/>
        <w:gridCol w:w="1005"/>
        <w:gridCol w:w="2042"/>
        <w:gridCol w:w="1133"/>
        <w:gridCol w:w="650"/>
        <w:gridCol w:w="1330"/>
      </w:tblGrid>
      <w:tr w:rsidR="003F1007" w:rsidRPr="00F178C2" w14:paraId="3D8146B4" w14:textId="77777777" w:rsidTr="00D8368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77" w:type="dxa"/>
            <w:shd w:val="clear" w:color="auto" w:fill="FFFFFF" w:themeFill="background1"/>
            <w:hideMark/>
          </w:tcPr>
          <w:p w14:paraId="10606F84" w14:textId="77777777" w:rsidR="003F1007" w:rsidRPr="00BB033F" w:rsidRDefault="003F1007" w:rsidP="0068302D">
            <w:pPr>
              <w:pStyle w:val="TableHead"/>
              <w:framePr w:hSpace="0" w:wrap="auto" w:vAnchor="margin" w:hAnchor="text" w:xAlign="left" w:yAlign="inline"/>
              <w:rPr>
                <w:rFonts w:ascii="Times New Roman" w:hAnsi="Times New Roman" w:cs="Times New Roman"/>
                <w:color w:val="453F43" w:themeColor="background2"/>
                <w:sz w:val="24"/>
                <w:szCs w:val="24"/>
              </w:rPr>
            </w:pPr>
            <w:r w:rsidRPr="00BB033F">
              <w:rPr>
                <w:color w:val="453F43" w:themeColor="background2"/>
              </w:rPr>
              <w:t>System</w:t>
            </w:r>
          </w:p>
        </w:tc>
        <w:tc>
          <w:tcPr>
            <w:tcW w:w="1005" w:type="dxa"/>
            <w:shd w:val="clear" w:color="auto" w:fill="FFFFFF" w:themeFill="background1"/>
            <w:hideMark/>
          </w:tcPr>
          <w:p w14:paraId="5EA2E1C2" w14:textId="77777777" w:rsidR="003F1007" w:rsidRPr="00BB033F" w:rsidRDefault="003F100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24"/>
                <w:szCs w:val="24"/>
              </w:rPr>
            </w:pPr>
            <w:r w:rsidRPr="00BB033F">
              <w:rPr>
                <w:color w:val="453F43" w:themeColor="background2"/>
              </w:rPr>
              <w:t>Funding</w:t>
            </w:r>
          </w:p>
        </w:tc>
        <w:tc>
          <w:tcPr>
            <w:tcW w:w="0" w:type="auto"/>
            <w:shd w:val="clear" w:color="auto" w:fill="FFFFFF" w:themeFill="background1"/>
            <w:hideMark/>
          </w:tcPr>
          <w:p w14:paraId="29BBC245" w14:textId="52AA73F9" w:rsidR="003F1007" w:rsidRPr="00BB033F" w:rsidRDefault="003F100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24"/>
                <w:szCs w:val="24"/>
              </w:rPr>
            </w:pPr>
            <w:r w:rsidRPr="00BB033F">
              <w:rPr>
                <w:color w:val="453F43" w:themeColor="background2"/>
              </w:rPr>
              <w:t xml:space="preserve">Geographic </w:t>
            </w:r>
            <w:r w:rsidR="00FE6345" w:rsidRPr="00BB033F">
              <w:rPr>
                <w:color w:val="453F43" w:themeColor="background2"/>
              </w:rPr>
              <w:t>d</w:t>
            </w:r>
            <w:r w:rsidRPr="00BB033F">
              <w:rPr>
                <w:color w:val="453F43" w:themeColor="background2"/>
              </w:rPr>
              <w:t>isaggregation</w:t>
            </w:r>
          </w:p>
        </w:tc>
        <w:tc>
          <w:tcPr>
            <w:tcW w:w="0" w:type="auto"/>
            <w:shd w:val="clear" w:color="auto" w:fill="FFFFFF" w:themeFill="background1"/>
            <w:hideMark/>
          </w:tcPr>
          <w:p w14:paraId="23188F09" w14:textId="750422CE" w:rsidR="003F1007" w:rsidRPr="00BB033F" w:rsidRDefault="003F100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24"/>
                <w:szCs w:val="24"/>
              </w:rPr>
            </w:pPr>
            <w:r w:rsidRPr="00BB033F">
              <w:rPr>
                <w:color w:val="453F43" w:themeColor="background2"/>
              </w:rPr>
              <w:t xml:space="preserve">Sample </w:t>
            </w:r>
            <w:r w:rsidR="00FE6345" w:rsidRPr="00BB033F">
              <w:rPr>
                <w:color w:val="453F43" w:themeColor="background2"/>
              </w:rPr>
              <w:t>s</w:t>
            </w:r>
            <w:r w:rsidRPr="00BB033F">
              <w:rPr>
                <w:color w:val="453F43" w:themeColor="background2"/>
              </w:rPr>
              <w:t xml:space="preserve">ize </w:t>
            </w:r>
          </w:p>
        </w:tc>
        <w:tc>
          <w:tcPr>
            <w:tcW w:w="0" w:type="auto"/>
            <w:shd w:val="clear" w:color="auto" w:fill="FFFFFF" w:themeFill="background1"/>
            <w:hideMark/>
          </w:tcPr>
          <w:p w14:paraId="00340811" w14:textId="77777777" w:rsidR="003F1007" w:rsidRPr="00BB033F" w:rsidRDefault="003F100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24"/>
                <w:szCs w:val="24"/>
              </w:rPr>
            </w:pPr>
            <w:r w:rsidRPr="00BB033F">
              <w:rPr>
                <w:color w:val="453F43" w:themeColor="background2"/>
              </w:rPr>
              <w:t>Year</w:t>
            </w:r>
          </w:p>
        </w:tc>
        <w:tc>
          <w:tcPr>
            <w:tcW w:w="0" w:type="auto"/>
            <w:shd w:val="clear" w:color="auto" w:fill="FFFFFF" w:themeFill="background1"/>
            <w:hideMark/>
          </w:tcPr>
          <w:p w14:paraId="672625B4" w14:textId="660E59B7" w:rsidR="003F1007" w:rsidRPr="00BB033F" w:rsidRDefault="003F1007" w:rsidP="0068302D">
            <w:pPr>
              <w:pStyle w:val="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53F43" w:themeColor="background2"/>
                <w:sz w:val="24"/>
                <w:szCs w:val="24"/>
              </w:rPr>
            </w:pPr>
            <w:r w:rsidRPr="00BB033F">
              <w:rPr>
                <w:color w:val="453F43" w:themeColor="background2"/>
              </w:rPr>
              <w:t xml:space="preserve">Observed </w:t>
            </w:r>
            <w:r w:rsidR="00FE6345" w:rsidRPr="00BB033F">
              <w:rPr>
                <w:color w:val="453F43" w:themeColor="background2"/>
              </w:rPr>
              <w:t>v</w:t>
            </w:r>
            <w:r w:rsidRPr="00BB033F">
              <w:rPr>
                <w:color w:val="453F43" w:themeColor="background2"/>
              </w:rPr>
              <w:t>alue</w:t>
            </w:r>
          </w:p>
        </w:tc>
      </w:tr>
      <w:tr w:rsidR="0055143A" w:rsidRPr="00F178C2" w14:paraId="57F33BC2"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2D2933B4" w14:textId="77777777" w:rsidR="0055143A" w:rsidRPr="00F178C2" w:rsidRDefault="0055143A" w:rsidP="00582C7D">
            <w:pPr>
              <w:pStyle w:val="Tablesubhead"/>
              <w:framePr w:hSpace="0" w:wrap="auto" w:vAnchor="margin" w:hAnchor="text" w:xAlign="left" w:yAlign="inline"/>
              <w:rPr>
                <w:rFonts w:ascii="Times New Roman" w:hAnsi="Times New Roman" w:cs="Times New Roman"/>
                <w:color w:val="auto"/>
                <w:sz w:val="24"/>
                <w:szCs w:val="24"/>
              </w:rPr>
            </w:pPr>
            <w:r w:rsidRPr="00F178C2">
              <w:t xml:space="preserve">Household </w:t>
            </w:r>
            <w:r>
              <w:t>s</w:t>
            </w:r>
            <w:r w:rsidRPr="00F178C2">
              <w:t>urveys</w:t>
            </w:r>
          </w:p>
        </w:tc>
        <w:tc>
          <w:tcPr>
            <w:tcW w:w="1005" w:type="dxa"/>
          </w:tcPr>
          <w:p w14:paraId="20B152BD" w14:textId="77777777" w:rsidR="0055143A" w:rsidRPr="00F178C2" w:rsidRDefault="0055143A" w:rsidP="00582C7D">
            <w:pPr>
              <w:pStyle w:val="Tablesubhead"/>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tcPr>
          <w:p w14:paraId="4DBFE80A" w14:textId="77777777" w:rsidR="0055143A" w:rsidRPr="00F178C2" w:rsidRDefault="0055143A" w:rsidP="00582C7D">
            <w:pPr>
              <w:pStyle w:val="Tablesubhead"/>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tcPr>
          <w:p w14:paraId="56359721" w14:textId="77777777" w:rsidR="0055143A" w:rsidRPr="00F178C2" w:rsidRDefault="0055143A" w:rsidP="00582C7D">
            <w:pPr>
              <w:pStyle w:val="Tablesubhead"/>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tcPr>
          <w:p w14:paraId="60F3C279" w14:textId="77777777" w:rsidR="0055143A" w:rsidRPr="00F178C2" w:rsidRDefault="0055143A" w:rsidP="00582C7D">
            <w:pPr>
              <w:pStyle w:val="Tablesubhead"/>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tcPr>
          <w:p w14:paraId="2382473A" w14:textId="2D6C41E8" w:rsidR="0055143A" w:rsidRPr="00F178C2" w:rsidRDefault="0055143A" w:rsidP="00582C7D">
            <w:pPr>
              <w:pStyle w:val="Tablesubhead"/>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F1007" w:rsidRPr="00F178C2" w14:paraId="198A625C"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29486A74"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Utilization of Essential Service Delivery Survey</w:t>
            </w:r>
          </w:p>
        </w:tc>
        <w:tc>
          <w:tcPr>
            <w:tcW w:w="1005" w:type="dxa"/>
            <w:hideMark/>
          </w:tcPr>
          <w:p w14:paraId="5A28A9F9"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w:t>
            </w:r>
          </w:p>
        </w:tc>
        <w:tc>
          <w:tcPr>
            <w:tcW w:w="0" w:type="auto"/>
            <w:hideMark/>
          </w:tcPr>
          <w:p w14:paraId="650D9A6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Division</w:t>
            </w:r>
          </w:p>
        </w:tc>
        <w:tc>
          <w:tcPr>
            <w:tcW w:w="0" w:type="auto"/>
            <w:hideMark/>
          </w:tcPr>
          <w:p w14:paraId="55E89524"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12,500 </w:t>
            </w:r>
          </w:p>
        </w:tc>
        <w:tc>
          <w:tcPr>
            <w:tcW w:w="0" w:type="auto"/>
            <w:hideMark/>
          </w:tcPr>
          <w:p w14:paraId="56AE635D"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2013</w:t>
            </w:r>
          </w:p>
        </w:tc>
        <w:tc>
          <w:tcPr>
            <w:tcW w:w="0" w:type="auto"/>
            <w:hideMark/>
          </w:tcPr>
          <w:p w14:paraId="7B26C617"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34%</w:t>
            </w:r>
          </w:p>
        </w:tc>
      </w:tr>
      <w:tr w:rsidR="003F1007" w:rsidRPr="00F178C2" w14:paraId="42F1B2F7"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6CEC1C97"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Bangladesh Demographic and Health Survey</w:t>
            </w:r>
          </w:p>
        </w:tc>
        <w:tc>
          <w:tcPr>
            <w:tcW w:w="1005" w:type="dxa"/>
            <w:hideMark/>
          </w:tcPr>
          <w:p w14:paraId="3911BD66"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USAID</w:t>
            </w:r>
          </w:p>
        </w:tc>
        <w:tc>
          <w:tcPr>
            <w:tcW w:w="0" w:type="auto"/>
            <w:hideMark/>
          </w:tcPr>
          <w:p w14:paraId="789BC54C"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Division</w:t>
            </w:r>
          </w:p>
        </w:tc>
        <w:tc>
          <w:tcPr>
            <w:tcW w:w="0" w:type="auto"/>
            <w:hideMark/>
          </w:tcPr>
          <w:p w14:paraId="0AECED3F"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19,000 </w:t>
            </w:r>
          </w:p>
        </w:tc>
        <w:tc>
          <w:tcPr>
            <w:tcW w:w="0" w:type="auto"/>
            <w:hideMark/>
          </w:tcPr>
          <w:p w14:paraId="3E564E7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2014</w:t>
            </w:r>
          </w:p>
        </w:tc>
        <w:tc>
          <w:tcPr>
            <w:tcW w:w="0" w:type="auto"/>
            <w:hideMark/>
          </w:tcPr>
          <w:p w14:paraId="100C4CF9"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42%</w:t>
            </w:r>
          </w:p>
        </w:tc>
      </w:tr>
      <w:tr w:rsidR="003F1007" w:rsidRPr="00F178C2" w14:paraId="202A9F7C"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4D6B84A6"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Multiple Indicator Cluster Survey</w:t>
            </w:r>
          </w:p>
        </w:tc>
        <w:tc>
          <w:tcPr>
            <w:tcW w:w="1005" w:type="dxa"/>
            <w:hideMark/>
          </w:tcPr>
          <w:p w14:paraId="30CCA2C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UNICEF</w:t>
            </w:r>
          </w:p>
        </w:tc>
        <w:tc>
          <w:tcPr>
            <w:tcW w:w="0" w:type="auto"/>
            <w:hideMark/>
          </w:tcPr>
          <w:p w14:paraId="358CA6C6"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District</w:t>
            </w:r>
          </w:p>
        </w:tc>
        <w:tc>
          <w:tcPr>
            <w:tcW w:w="0" w:type="auto"/>
            <w:hideMark/>
          </w:tcPr>
          <w:p w14:paraId="6FE6B98B"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4,000 </w:t>
            </w:r>
          </w:p>
        </w:tc>
        <w:tc>
          <w:tcPr>
            <w:tcW w:w="0" w:type="auto"/>
            <w:hideMark/>
          </w:tcPr>
          <w:p w14:paraId="0168EB8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2019</w:t>
            </w:r>
          </w:p>
        </w:tc>
        <w:tc>
          <w:tcPr>
            <w:tcW w:w="0" w:type="auto"/>
            <w:hideMark/>
          </w:tcPr>
          <w:p w14:paraId="311F7DD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59%</w:t>
            </w:r>
          </w:p>
        </w:tc>
      </w:tr>
      <w:tr w:rsidR="003F1007" w:rsidRPr="00F178C2" w14:paraId="55428F64"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1E350DE3"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Coverage of Basic Social Services Survey</w:t>
            </w:r>
          </w:p>
        </w:tc>
        <w:tc>
          <w:tcPr>
            <w:tcW w:w="1005" w:type="dxa"/>
            <w:hideMark/>
          </w:tcPr>
          <w:p w14:paraId="74627146"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UNICEF</w:t>
            </w:r>
          </w:p>
        </w:tc>
        <w:tc>
          <w:tcPr>
            <w:tcW w:w="0" w:type="auto"/>
            <w:hideMark/>
          </w:tcPr>
          <w:p w14:paraId="7FA08EA3"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Upazilla</w:t>
            </w:r>
          </w:p>
        </w:tc>
        <w:tc>
          <w:tcPr>
            <w:tcW w:w="0" w:type="auto"/>
            <w:hideMark/>
          </w:tcPr>
          <w:p w14:paraId="4D8D03B7"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216,000 </w:t>
            </w:r>
          </w:p>
        </w:tc>
        <w:tc>
          <w:tcPr>
            <w:tcW w:w="0" w:type="auto"/>
            <w:hideMark/>
          </w:tcPr>
          <w:p w14:paraId="35D4711A"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2017</w:t>
            </w:r>
          </w:p>
        </w:tc>
        <w:tc>
          <w:tcPr>
            <w:tcW w:w="0" w:type="auto"/>
            <w:hideMark/>
          </w:tcPr>
          <w:p w14:paraId="3203C25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85%</w:t>
            </w:r>
          </w:p>
        </w:tc>
      </w:tr>
      <w:tr w:rsidR="003F1007" w:rsidRPr="00F178C2" w14:paraId="518A4A97"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7583D3BB"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Bangladesh Maternal Mortality and Health Care Survey</w:t>
            </w:r>
          </w:p>
        </w:tc>
        <w:tc>
          <w:tcPr>
            <w:tcW w:w="1005" w:type="dxa"/>
            <w:hideMark/>
          </w:tcPr>
          <w:p w14:paraId="5D5E960E"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USAID / DFID</w:t>
            </w:r>
          </w:p>
        </w:tc>
        <w:tc>
          <w:tcPr>
            <w:tcW w:w="0" w:type="auto"/>
            <w:hideMark/>
          </w:tcPr>
          <w:p w14:paraId="10AF914C"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Upazilla</w:t>
            </w:r>
          </w:p>
        </w:tc>
        <w:tc>
          <w:tcPr>
            <w:tcW w:w="0" w:type="auto"/>
            <w:hideMark/>
          </w:tcPr>
          <w:p w14:paraId="3A65CDE7"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298,000 </w:t>
            </w:r>
          </w:p>
        </w:tc>
        <w:tc>
          <w:tcPr>
            <w:tcW w:w="0" w:type="auto"/>
            <w:hideMark/>
          </w:tcPr>
          <w:p w14:paraId="6E98E0B8"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2016</w:t>
            </w:r>
          </w:p>
        </w:tc>
        <w:tc>
          <w:tcPr>
            <w:tcW w:w="0" w:type="auto"/>
            <w:hideMark/>
          </w:tcPr>
          <w:p w14:paraId="79F1EFD2"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50%</w:t>
            </w:r>
          </w:p>
        </w:tc>
      </w:tr>
      <w:tr w:rsidR="003F1007" w:rsidRPr="00F178C2" w14:paraId="1AECE5D2"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415C7413"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Sample Vital Registration System</w:t>
            </w:r>
          </w:p>
        </w:tc>
        <w:tc>
          <w:tcPr>
            <w:tcW w:w="1005" w:type="dxa"/>
            <w:hideMark/>
          </w:tcPr>
          <w:p w14:paraId="12DDC1FD"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UNICEF / UNFPA</w:t>
            </w:r>
          </w:p>
        </w:tc>
        <w:tc>
          <w:tcPr>
            <w:tcW w:w="0" w:type="auto"/>
            <w:hideMark/>
          </w:tcPr>
          <w:p w14:paraId="6067CC84"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Upazilla</w:t>
            </w:r>
          </w:p>
        </w:tc>
        <w:tc>
          <w:tcPr>
            <w:tcW w:w="0" w:type="auto"/>
            <w:hideMark/>
          </w:tcPr>
          <w:p w14:paraId="091DDA58"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298,000 </w:t>
            </w:r>
          </w:p>
        </w:tc>
        <w:tc>
          <w:tcPr>
            <w:tcW w:w="0" w:type="auto"/>
            <w:hideMark/>
          </w:tcPr>
          <w:p w14:paraId="594E1525"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2018</w:t>
            </w:r>
          </w:p>
        </w:tc>
        <w:tc>
          <w:tcPr>
            <w:tcW w:w="0" w:type="auto"/>
            <w:hideMark/>
          </w:tcPr>
          <w:p w14:paraId="238E089B"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69%</w:t>
            </w:r>
          </w:p>
        </w:tc>
      </w:tr>
      <w:tr w:rsidR="00D83686" w:rsidRPr="00F178C2" w14:paraId="45D09B64"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tcPr>
          <w:p w14:paraId="7F327973" w14:textId="7991B23A" w:rsidR="00D83686" w:rsidRPr="00F178C2" w:rsidRDefault="00D83686" w:rsidP="00D83686">
            <w:pPr>
              <w:pStyle w:val="Tablesubhead"/>
              <w:framePr w:hSpace="0" w:wrap="auto" w:vAnchor="margin" w:hAnchor="text" w:xAlign="left" w:yAlign="inline"/>
            </w:pPr>
            <w:r>
              <w:t>Administrative systems</w:t>
            </w:r>
          </w:p>
        </w:tc>
        <w:tc>
          <w:tcPr>
            <w:tcW w:w="1005" w:type="dxa"/>
          </w:tcPr>
          <w:p w14:paraId="4E6A3879" w14:textId="77777777" w:rsidR="00D83686" w:rsidRPr="00F178C2" w:rsidRDefault="00D83686"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5C0551FF" w14:textId="77777777" w:rsidR="00D83686" w:rsidRPr="00F178C2" w:rsidRDefault="00D83686"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53278DE2" w14:textId="77777777" w:rsidR="00D83686" w:rsidRPr="00F178C2" w:rsidRDefault="00D83686"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2F7B06AC" w14:textId="77777777" w:rsidR="00D83686" w:rsidRPr="00F178C2" w:rsidRDefault="00D83686"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1DBBB9B8" w14:textId="77777777" w:rsidR="00D83686" w:rsidRPr="00F178C2" w:rsidRDefault="00D83686"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3F1007" w:rsidRPr="00F178C2" w14:paraId="449E835F"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46487BEB"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District Health Information System</w:t>
            </w:r>
          </w:p>
        </w:tc>
        <w:tc>
          <w:tcPr>
            <w:tcW w:w="1005" w:type="dxa"/>
            <w:hideMark/>
          </w:tcPr>
          <w:p w14:paraId="65C6BFE9"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UNICEF</w:t>
            </w:r>
          </w:p>
        </w:tc>
        <w:tc>
          <w:tcPr>
            <w:tcW w:w="0" w:type="auto"/>
            <w:hideMark/>
          </w:tcPr>
          <w:p w14:paraId="14BD29CF"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Facility</w:t>
            </w:r>
          </w:p>
        </w:tc>
        <w:tc>
          <w:tcPr>
            <w:tcW w:w="0" w:type="auto"/>
            <w:hideMark/>
          </w:tcPr>
          <w:p w14:paraId="37F9ADB6"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w:t>
            </w:r>
          </w:p>
        </w:tc>
        <w:tc>
          <w:tcPr>
            <w:tcW w:w="0" w:type="auto"/>
            <w:hideMark/>
          </w:tcPr>
          <w:p w14:paraId="0089EBD9"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2019</w:t>
            </w:r>
          </w:p>
        </w:tc>
        <w:tc>
          <w:tcPr>
            <w:tcW w:w="0" w:type="auto"/>
            <w:hideMark/>
          </w:tcPr>
          <w:p w14:paraId="4629974F" w14:textId="215B723D"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51</w:t>
            </w:r>
            <w:r w:rsidR="00CD3743">
              <w:rPr>
                <w:rFonts w:cstheme="minorHAnsi"/>
              </w:rPr>
              <w:t>−</w:t>
            </w:r>
            <w:r w:rsidRPr="00F178C2">
              <w:t>82%</w:t>
            </w:r>
          </w:p>
        </w:tc>
      </w:tr>
      <w:tr w:rsidR="003F1007" w:rsidRPr="00F178C2" w14:paraId="60BB6CBD" w14:textId="77777777" w:rsidTr="00D83686">
        <w:trPr>
          <w:trHeight w:val="600"/>
        </w:trPr>
        <w:tc>
          <w:tcPr>
            <w:cnfStyle w:val="001000000000" w:firstRow="0" w:lastRow="0" w:firstColumn="1" w:lastColumn="0" w:oddVBand="0" w:evenVBand="0" w:oddHBand="0" w:evenHBand="0" w:firstRowFirstColumn="0" w:firstRowLastColumn="0" w:lastRowFirstColumn="0" w:lastRowLastColumn="0"/>
            <w:tcW w:w="1777" w:type="dxa"/>
            <w:hideMark/>
          </w:tcPr>
          <w:p w14:paraId="1022B85E" w14:textId="77777777" w:rsidR="003F1007" w:rsidRPr="00F178C2" w:rsidRDefault="003F1007" w:rsidP="00582C7D">
            <w:pPr>
              <w:pStyle w:val="Tabletext"/>
              <w:framePr w:hSpace="0" w:wrap="auto" w:vAnchor="margin" w:hAnchor="text" w:xAlign="left" w:yAlign="inline"/>
              <w:rPr>
                <w:rFonts w:ascii="Times New Roman" w:hAnsi="Times New Roman" w:cs="Times New Roman"/>
                <w:color w:val="auto"/>
                <w:sz w:val="24"/>
                <w:szCs w:val="24"/>
              </w:rPr>
            </w:pPr>
            <w:r w:rsidRPr="00F178C2">
              <w:t>Family Planning Management Information System</w:t>
            </w:r>
          </w:p>
        </w:tc>
        <w:tc>
          <w:tcPr>
            <w:tcW w:w="1005" w:type="dxa"/>
            <w:hideMark/>
          </w:tcPr>
          <w:p w14:paraId="1F07B45C"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USAID</w:t>
            </w:r>
          </w:p>
        </w:tc>
        <w:tc>
          <w:tcPr>
            <w:tcW w:w="0" w:type="auto"/>
            <w:hideMark/>
          </w:tcPr>
          <w:p w14:paraId="059EE878"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Facility</w:t>
            </w:r>
          </w:p>
        </w:tc>
        <w:tc>
          <w:tcPr>
            <w:tcW w:w="0" w:type="auto"/>
            <w:hideMark/>
          </w:tcPr>
          <w:p w14:paraId="3C48FC2A"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 </w:t>
            </w:r>
          </w:p>
        </w:tc>
        <w:tc>
          <w:tcPr>
            <w:tcW w:w="0" w:type="auto"/>
            <w:hideMark/>
          </w:tcPr>
          <w:p w14:paraId="56FEB66A"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2019</w:t>
            </w:r>
          </w:p>
        </w:tc>
        <w:tc>
          <w:tcPr>
            <w:tcW w:w="0" w:type="auto"/>
            <w:hideMark/>
          </w:tcPr>
          <w:p w14:paraId="04A8F493" w14:textId="77777777" w:rsidR="003F1007" w:rsidRPr="00F178C2" w:rsidRDefault="003F1007" w:rsidP="00582C7D">
            <w:pPr>
              <w:pStyle w:val="Tabletext"/>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178C2">
              <w:t>?</w:t>
            </w:r>
          </w:p>
        </w:tc>
      </w:tr>
    </w:tbl>
    <w:p w14:paraId="5AFAD3E6" w14:textId="6B031BA5" w:rsidR="003F1007" w:rsidRDefault="003F1007">
      <w:pPr>
        <w:spacing w:before="0" w:line="240" w:lineRule="auto"/>
      </w:pPr>
      <w:r>
        <w:br w:type="page"/>
      </w:r>
    </w:p>
    <w:p w14:paraId="1E326470" w14:textId="75D4FB21" w:rsidR="003F1007" w:rsidRDefault="00FE6345" w:rsidP="00BB033F">
      <w:pPr>
        <w:pStyle w:val="Tabletitle"/>
        <w:rPr>
          <w:rFonts w:ascii="Trebuchet MS" w:hAnsi="Trebuchet MS"/>
          <w:color w:val="980000"/>
          <w:sz w:val="28"/>
          <w:szCs w:val="28"/>
        </w:rPr>
      </w:pPr>
      <w:r>
        <w:lastRenderedPageBreak/>
        <w:t xml:space="preserve">Table 4: </w:t>
      </w:r>
      <w:r w:rsidR="003F1007">
        <w:t xml:space="preserve">Average </w:t>
      </w:r>
      <w:r>
        <w:t>a</w:t>
      </w:r>
      <w:r w:rsidR="003F1007">
        <w:t xml:space="preserve">nnual </w:t>
      </w:r>
      <w:r>
        <w:t>c</w:t>
      </w:r>
      <w:r w:rsidR="003F1007">
        <w:t xml:space="preserve">ommitments on </w:t>
      </w:r>
      <w:r>
        <w:t>a</w:t>
      </w:r>
      <w:r w:rsidR="003F1007">
        <w:t xml:space="preserve">id to </w:t>
      </w:r>
      <w:r>
        <w:t>s</w:t>
      </w:r>
      <w:r w:rsidR="003F1007">
        <w:t xml:space="preserve">tatistics by </w:t>
      </w:r>
      <w:r>
        <w:t>a</w:t>
      </w:r>
      <w:r w:rsidR="003F1007">
        <w:t xml:space="preserve">rea of </w:t>
      </w:r>
      <w:r>
        <w:t>s</w:t>
      </w:r>
      <w:r w:rsidR="003F1007">
        <w:t xml:space="preserve">tatistical </w:t>
      </w:r>
      <w:r>
        <w:t>a</w:t>
      </w:r>
      <w:r w:rsidR="003F1007">
        <w:t>ctivity (2009</w:t>
      </w:r>
      <w:r>
        <w:t>−</w:t>
      </w:r>
      <w:r w:rsidR="003F1007">
        <w:t>2018)</w:t>
      </w:r>
    </w:p>
    <w:tbl>
      <w:tblPr>
        <w:tblStyle w:val="DItable"/>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5954"/>
        <w:gridCol w:w="1983"/>
      </w:tblGrid>
      <w:tr w:rsidR="00BE7781" w:rsidRPr="00BE7781" w14:paraId="02F3B39B" w14:textId="77777777" w:rsidTr="00BB033F">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hideMark/>
          </w:tcPr>
          <w:p w14:paraId="35D06CF4" w14:textId="77777777" w:rsidR="00BE7781" w:rsidRPr="00BB033F" w:rsidRDefault="00BE7781" w:rsidP="00BE7781">
            <w:pPr>
              <w:spacing w:before="120" w:after="40" w:line="260" w:lineRule="exact"/>
              <w:rPr>
                <w:rFonts w:ascii="Times New Roman" w:hAnsi="Times New Roman" w:cs="Times New Roman"/>
                <w:bCs/>
                <w:sz w:val="24"/>
                <w:szCs w:val="24"/>
              </w:rPr>
            </w:pPr>
            <w:r w:rsidRPr="00BB033F">
              <w:rPr>
                <w:bCs/>
                <w:szCs w:val="20"/>
              </w:rPr>
              <w:t>Domain</w:t>
            </w:r>
          </w:p>
        </w:tc>
        <w:tc>
          <w:tcPr>
            <w:tcW w:w="1983" w:type="dxa"/>
            <w:shd w:val="clear" w:color="auto" w:fill="FFFFFF" w:themeFill="background1"/>
            <w:hideMark/>
          </w:tcPr>
          <w:p w14:paraId="17F090E7" w14:textId="095FC454" w:rsidR="00BE7781" w:rsidRPr="00BB033F" w:rsidRDefault="00BE7781" w:rsidP="00BE7781">
            <w:pPr>
              <w:spacing w:before="120" w:after="40" w:line="26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B033F">
              <w:rPr>
                <w:bCs/>
                <w:szCs w:val="20"/>
              </w:rPr>
              <w:t>Average annual commitment (</w:t>
            </w:r>
            <w:r w:rsidR="004F6447" w:rsidRPr="00BB033F">
              <w:rPr>
                <w:bCs/>
                <w:szCs w:val="20"/>
              </w:rPr>
              <w:t>US</w:t>
            </w:r>
            <w:r w:rsidRPr="00BB033F">
              <w:rPr>
                <w:bCs/>
                <w:szCs w:val="20"/>
              </w:rPr>
              <w:t>$m)</w:t>
            </w:r>
          </w:p>
        </w:tc>
      </w:tr>
      <w:tr w:rsidR="00BE7781" w:rsidRPr="00BE7781" w14:paraId="1EB582DA" w14:textId="77777777" w:rsidTr="00552B81">
        <w:trPr>
          <w:trHeight w:val="279"/>
        </w:trPr>
        <w:tc>
          <w:tcPr>
            <w:cnfStyle w:val="001000000000" w:firstRow="0" w:lastRow="0" w:firstColumn="1" w:lastColumn="0" w:oddVBand="0" w:evenVBand="0" w:oddHBand="0" w:evenHBand="0" w:firstRowFirstColumn="0" w:firstRowLastColumn="0" w:lastRowFirstColumn="0" w:lastRowLastColumn="0"/>
            <w:tcW w:w="5954" w:type="dxa"/>
            <w:hideMark/>
          </w:tcPr>
          <w:p w14:paraId="5A3DF1F0"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sz w:val="18"/>
              </w:rPr>
              <w:t>Demographic and social statistics</w:t>
            </w:r>
          </w:p>
        </w:tc>
        <w:tc>
          <w:tcPr>
            <w:tcW w:w="1983" w:type="dxa"/>
            <w:hideMark/>
          </w:tcPr>
          <w:p w14:paraId="1577599C"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sz w:val="18"/>
              </w:rPr>
              <w:t>161</w:t>
            </w:r>
          </w:p>
        </w:tc>
      </w:tr>
      <w:tr w:rsidR="00BE7781" w:rsidRPr="00BE7781" w14:paraId="076F6EE5" w14:textId="77777777" w:rsidTr="00552B81">
        <w:trPr>
          <w:trHeight w:val="279"/>
        </w:trPr>
        <w:tc>
          <w:tcPr>
            <w:cnfStyle w:val="001000000000" w:firstRow="0" w:lastRow="0" w:firstColumn="1" w:lastColumn="0" w:oddVBand="0" w:evenVBand="0" w:oddHBand="0" w:evenHBand="0" w:firstRowFirstColumn="0" w:firstRowLastColumn="0" w:lastRowFirstColumn="0" w:lastRowLastColumn="0"/>
            <w:tcW w:w="5954" w:type="dxa"/>
            <w:hideMark/>
          </w:tcPr>
          <w:p w14:paraId="34699C1E"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sz w:val="18"/>
              </w:rPr>
              <w:t>Economic statistics</w:t>
            </w:r>
          </w:p>
        </w:tc>
        <w:tc>
          <w:tcPr>
            <w:tcW w:w="1983" w:type="dxa"/>
            <w:hideMark/>
          </w:tcPr>
          <w:p w14:paraId="52970A35"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sz w:val="18"/>
              </w:rPr>
              <w:t>104</w:t>
            </w:r>
          </w:p>
        </w:tc>
      </w:tr>
      <w:tr w:rsidR="00BE7781" w:rsidRPr="00BE7781" w14:paraId="6284A1EF" w14:textId="77777777" w:rsidTr="00552B81">
        <w:trPr>
          <w:trHeight w:val="279"/>
        </w:trPr>
        <w:tc>
          <w:tcPr>
            <w:cnfStyle w:val="001000000000" w:firstRow="0" w:lastRow="0" w:firstColumn="1" w:lastColumn="0" w:oddVBand="0" w:evenVBand="0" w:oddHBand="0" w:evenHBand="0" w:firstRowFirstColumn="0" w:firstRowLastColumn="0" w:lastRowFirstColumn="0" w:lastRowLastColumn="0"/>
            <w:tcW w:w="5954" w:type="dxa"/>
            <w:hideMark/>
          </w:tcPr>
          <w:p w14:paraId="58FE0049"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sz w:val="18"/>
              </w:rPr>
              <w:t>Environment and multi-domain statistics</w:t>
            </w:r>
          </w:p>
        </w:tc>
        <w:tc>
          <w:tcPr>
            <w:tcW w:w="1983" w:type="dxa"/>
            <w:hideMark/>
          </w:tcPr>
          <w:p w14:paraId="235DDA18"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sz w:val="18"/>
              </w:rPr>
              <w:t>45</w:t>
            </w:r>
          </w:p>
        </w:tc>
      </w:tr>
      <w:tr w:rsidR="00BE7781" w:rsidRPr="00BE7781" w14:paraId="45C2334C" w14:textId="77777777" w:rsidTr="00552B81">
        <w:trPr>
          <w:trHeight w:val="558"/>
        </w:trPr>
        <w:tc>
          <w:tcPr>
            <w:cnfStyle w:val="001000000000" w:firstRow="0" w:lastRow="0" w:firstColumn="1" w:lastColumn="0" w:oddVBand="0" w:evenVBand="0" w:oddHBand="0" w:evenHBand="0" w:firstRowFirstColumn="0" w:firstRowLastColumn="0" w:lastRowFirstColumn="0" w:lastRowLastColumn="0"/>
            <w:tcW w:w="5954" w:type="dxa"/>
            <w:hideMark/>
          </w:tcPr>
          <w:p w14:paraId="15453827"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sz w:val="18"/>
              </w:rPr>
              <w:t>General statistical items and methodology of data collection, processing, dissemination and analysis</w:t>
            </w:r>
          </w:p>
        </w:tc>
        <w:tc>
          <w:tcPr>
            <w:tcW w:w="1983" w:type="dxa"/>
            <w:hideMark/>
          </w:tcPr>
          <w:p w14:paraId="1B87D9FB"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sz w:val="18"/>
              </w:rPr>
              <w:t>172</w:t>
            </w:r>
          </w:p>
        </w:tc>
      </w:tr>
      <w:tr w:rsidR="00BE7781" w:rsidRPr="00BE7781" w14:paraId="2EF004CE" w14:textId="77777777" w:rsidTr="00552B81">
        <w:trPr>
          <w:trHeight w:val="558"/>
        </w:trPr>
        <w:tc>
          <w:tcPr>
            <w:cnfStyle w:val="001000000000" w:firstRow="0" w:lastRow="0" w:firstColumn="1" w:lastColumn="0" w:oddVBand="0" w:evenVBand="0" w:oddHBand="0" w:evenHBand="0" w:firstRowFirstColumn="0" w:firstRowLastColumn="0" w:lastRowFirstColumn="0" w:lastRowLastColumn="0"/>
            <w:tcW w:w="5954" w:type="dxa"/>
            <w:hideMark/>
          </w:tcPr>
          <w:p w14:paraId="4636BE87"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sz w:val="18"/>
              </w:rPr>
              <w:t>Strategic and managerial issues of official statistics at national and international level</w:t>
            </w:r>
          </w:p>
        </w:tc>
        <w:tc>
          <w:tcPr>
            <w:tcW w:w="1983" w:type="dxa"/>
            <w:hideMark/>
          </w:tcPr>
          <w:p w14:paraId="3D382BAB"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sz w:val="18"/>
              </w:rPr>
              <w:t>113</w:t>
            </w:r>
          </w:p>
        </w:tc>
      </w:tr>
      <w:tr w:rsidR="00BE7781" w:rsidRPr="00BE7781" w14:paraId="77EFA1DC" w14:textId="77777777" w:rsidTr="00552B81">
        <w:trPr>
          <w:trHeight w:val="457"/>
        </w:trPr>
        <w:tc>
          <w:tcPr>
            <w:cnfStyle w:val="001000000000" w:firstRow="0" w:lastRow="0" w:firstColumn="1" w:lastColumn="0" w:oddVBand="0" w:evenVBand="0" w:oddHBand="0" w:evenHBand="0" w:firstRowFirstColumn="0" w:firstRowLastColumn="0" w:lastRowFirstColumn="0" w:lastRowLastColumn="0"/>
            <w:tcW w:w="5954" w:type="dxa"/>
            <w:hideMark/>
          </w:tcPr>
          <w:p w14:paraId="48F529D4" w14:textId="77777777" w:rsidR="00BE7781" w:rsidRPr="00BE7781" w:rsidRDefault="00BE7781" w:rsidP="00BE7781">
            <w:pPr>
              <w:spacing w:before="120" w:line="260" w:lineRule="exact"/>
              <w:rPr>
                <w:rFonts w:ascii="Times New Roman" w:hAnsi="Times New Roman" w:cs="Times New Roman"/>
                <w:color w:val="auto"/>
                <w:sz w:val="24"/>
                <w:szCs w:val="24"/>
              </w:rPr>
            </w:pPr>
            <w:r w:rsidRPr="00BE7781">
              <w:rPr>
                <w:rFonts w:asciiTheme="minorHAnsi" w:hAnsiTheme="minorHAnsi"/>
                <w:b/>
                <w:bCs/>
                <w:sz w:val="18"/>
              </w:rPr>
              <w:t>Average Annual Aid to Statistics</w:t>
            </w:r>
          </w:p>
        </w:tc>
        <w:tc>
          <w:tcPr>
            <w:tcW w:w="1983" w:type="dxa"/>
            <w:hideMark/>
          </w:tcPr>
          <w:p w14:paraId="00527F70" w14:textId="77777777" w:rsidR="00BE7781" w:rsidRPr="00BE7781" w:rsidRDefault="00BE7781" w:rsidP="00BE7781">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7781">
              <w:rPr>
                <w:rFonts w:asciiTheme="minorHAnsi" w:hAnsiTheme="minorHAnsi"/>
                <w:b/>
                <w:bCs/>
                <w:sz w:val="18"/>
              </w:rPr>
              <w:t>597</w:t>
            </w:r>
          </w:p>
        </w:tc>
      </w:tr>
    </w:tbl>
    <w:p w14:paraId="5EC266F7" w14:textId="03DB85F5" w:rsidR="003F1007" w:rsidRPr="00CD3743" w:rsidRDefault="003F1007" w:rsidP="0025301F">
      <w:pPr>
        <w:pStyle w:val="Source"/>
        <w:rPr>
          <w:rStyle w:val="Hyperlink"/>
        </w:rPr>
      </w:pPr>
      <w:r w:rsidRPr="00FE6345">
        <w:t>Source: D</w:t>
      </w:r>
      <w:r w:rsidR="00725EA1">
        <w:t xml:space="preserve">evelopment </w:t>
      </w:r>
      <w:r w:rsidRPr="00FE6345">
        <w:t>I</w:t>
      </w:r>
      <w:r w:rsidR="00725EA1">
        <w:t>nitiatives,</w:t>
      </w:r>
      <w:r w:rsidRPr="00FE6345">
        <w:t xml:space="preserve"> Aggregation based on PRESS 2019. </w:t>
      </w:r>
      <w:hyperlink r:id="rId16" w:history="1">
        <w:r w:rsidRPr="00BB033F">
          <w:rPr>
            <w:rStyle w:val="Hyperlink"/>
            <w:color w:val="453F43" w:themeColor="background2"/>
          </w:rPr>
          <w:t>https://paris21.org/press-2019</w:t>
        </w:r>
      </w:hyperlink>
    </w:p>
    <w:p w14:paraId="403D0C49" w14:textId="5BD5BFDF" w:rsidR="003F1007" w:rsidRDefault="00FE6345" w:rsidP="00BB033F">
      <w:pPr>
        <w:pStyle w:val="Tabletitle"/>
        <w:rPr>
          <w:rFonts w:ascii="Trebuchet MS" w:hAnsi="Trebuchet MS"/>
          <w:color w:val="980000"/>
          <w:sz w:val="28"/>
          <w:szCs w:val="28"/>
        </w:rPr>
      </w:pPr>
      <w:r>
        <w:t xml:space="preserve">Table 5: </w:t>
      </w:r>
      <w:r w:rsidR="003F1007">
        <w:t xml:space="preserve">Timeline of </w:t>
      </w:r>
      <w:r>
        <w:t>d</w:t>
      </w:r>
      <w:r w:rsidR="003F1007">
        <w:t xml:space="preserve">onor </w:t>
      </w:r>
      <w:r>
        <w:t>c</w:t>
      </w:r>
      <w:r w:rsidR="003F1007">
        <w:t>ommitments</w:t>
      </w:r>
    </w:p>
    <w:tbl>
      <w:tblPr>
        <w:tblStyle w:val="DItable"/>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617"/>
        <w:gridCol w:w="6950"/>
      </w:tblGrid>
      <w:tr w:rsidR="005F71A6" w:rsidRPr="005F71A6" w14:paraId="03C39A9E" w14:textId="77777777" w:rsidTr="00552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119B5D" w14:textId="77777777" w:rsidR="005F71A6" w:rsidRPr="005F71A6" w:rsidRDefault="005F71A6" w:rsidP="005F71A6">
            <w:pPr>
              <w:spacing w:before="120" w:line="260" w:lineRule="exact"/>
              <w:rPr>
                <w:b w:val="0"/>
                <w:bCs/>
                <w:sz w:val="18"/>
              </w:rPr>
            </w:pPr>
            <w:r w:rsidRPr="005F71A6">
              <w:rPr>
                <w:b w:val="0"/>
                <w:bCs/>
                <w:sz w:val="18"/>
              </w:rPr>
              <w:t>2002</w:t>
            </w:r>
          </w:p>
        </w:tc>
        <w:tc>
          <w:tcPr>
            <w:tcW w:w="0" w:type="auto"/>
            <w:shd w:val="clear" w:color="auto" w:fill="auto"/>
            <w:hideMark/>
          </w:tcPr>
          <w:p w14:paraId="7D821DF1" w14:textId="77777777" w:rsidR="005F71A6" w:rsidRPr="005F71A6" w:rsidRDefault="00793CC3" w:rsidP="005F71A6">
            <w:pPr>
              <w:spacing w:before="120" w:line="260" w:lineRule="exact"/>
              <w:cnfStyle w:val="100000000000" w:firstRow="1" w:lastRow="0" w:firstColumn="0" w:lastColumn="0" w:oddVBand="0" w:evenVBand="0" w:oddHBand="0" w:evenHBand="0" w:firstRowFirstColumn="0" w:firstRowLastColumn="0" w:lastRowFirstColumn="0" w:lastRowLastColumn="0"/>
              <w:rPr>
                <w:b w:val="0"/>
                <w:bCs/>
                <w:sz w:val="18"/>
              </w:rPr>
            </w:pPr>
            <w:hyperlink r:id="rId17" w:history="1">
              <w:r w:rsidR="005F71A6" w:rsidRPr="005F71A6">
                <w:rPr>
                  <w:b w:val="0"/>
                  <w:bCs/>
                  <w:sz w:val="18"/>
                </w:rPr>
                <w:t>Monterrey Consensus of the International Conference on Financing for Development</w:t>
              </w:r>
            </w:hyperlink>
          </w:p>
        </w:tc>
      </w:tr>
      <w:tr w:rsidR="005F71A6" w:rsidRPr="005F71A6" w14:paraId="1854EE6B"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020F60D1"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2003</w:t>
            </w:r>
          </w:p>
        </w:tc>
        <w:tc>
          <w:tcPr>
            <w:tcW w:w="0" w:type="auto"/>
            <w:hideMark/>
          </w:tcPr>
          <w:p w14:paraId="2301D4FF"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18" w:history="1">
              <w:r w:rsidR="005F71A6" w:rsidRPr="00BB033F">
                <w:rPr>
                  <w:rFonts w:cs="Arial"/>
                  <w:sz w:val="18"/>
                  <w:u w:val="single"/>
                </w:rPr>
                <w:t>Rome Declaration on Harmonisation</w:t>
              </w:r>
            </w:hyperlink>
          </w:p>
        </w:tc>
      </w:tr>
      <w:tr w:rsidR="005F71A6" w:rsidRPr="005F71A6" w14:paraId="1365C76A"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0D4B36B2"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2005</w:t>
            </w:r>
          </w:p>
        </w:tc>
        <w:tc>
          <w:tcPr>
            <w:tcW w:w="0" w:type="auto"/>
            <w:hideMark/>
          </w:tcPr>
          <w:p w14:paraId="197E0A81"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19" w:history="1">
              <w:r w:rsidR="005F71A6" w:rsidRPr="00BB033F">
                <w:rPr>
                  <w:rFonts w:cs="Arial"/>
                  <w:sz w:val="18"/>
                  <w:u w:val="single"/>
                </w:rPr>
                <w:t>Paris Declaration on Aid Effectiveness</w:t>
              </w:r>
            </w:hyperlink>
          </w:p>
        </w:tc>
      </w:tr>
      <w:tr w:rsidR="005F71A6" w:rsidRPr="005F71A6" w14:paraId="1D9C15FA"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429FEB19"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2008</w:t>
            </w:r>
          </w:p>
        </w:tc>
        <w:tc>
          <w:tcPr>
            <w:tcW w:w="0" w:type="auto"/>
            <w:hideMark/>
          </w:tcPr>
          <w:p w14:paraId="0C0B03C3"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0" w:history="1">
              <w:r w:rsidR="005F71A6" w:rsidRPr="00BB033F">
                <w:rPr>
                  <w:rFonts w:cs="Arial"/>
                  <w:sz w:val="18"/>
                  <w:u w:val="single"/>
                </w:rPr>
                <w:t>Accra Agenda for Action</w:t>
              </w:r>
            </w:hyperlink>
          </w:p>
        </w:tc>
      </w:tr>
      <w:tr w:rsidR="005F71A6" w:rsidRPr="005F71A6" w14:paraId="09CD96AD"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0803CBE6"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2009</w:t>
            </w:r>
          </w:p>
        </w:tc>
        <w:tc>
          <w:tcPr>
            <w:tcW w:w="0" w:type="auto"/>
            <w:hideMark/>
          </w:tcPr>
          <w:p w14:paraId="14B1F340"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1" w:history="1">
              <w:r w:rsidR="005F71A6" w:rsidRPr="00BB033F">
                <w:rPr>
                  <w:rFonts w:cs="Arial"/>
                  <w:sz w:val="18"/>
                  <w:u w:val="single"/>
                </w:rPr>
                <w:t>Doha Declaration on Financing for Development</w:t>
              </w:r>
            </w:hyperlink>
          </w:p>
        </w:tc>
      </w:tr>
      <w:tr w:rsidR="005F71A6" w:rsidRPr="005F71A6" w14:paraId="4F05119D"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2F1A15B5"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2011</w:t>
            </w:r>
          </w:p>
        </w:tc>
        <w:tc>
          <w:tcPr>
            <w:tcW w:w="0" w:type="auto"/>
            <w:hideMark/>
          </w:tcPr>
          <w:p w14:paraId="16BF96B3" w14:textId="77777777" w:rsidR="005F71A6" w:rsidRPr="005F71A6"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2" w:history="1">
              <w:r w:rsidR="005F71A6" w:rsidRPr="00BB033F">
                <w:rPr>
                  <w:rFonts w:cs="Arial"/>
                  <w:sz w:val="18"/>
                  <w:u w:val="single"/>
                </w:rPr>
                <w:t>The Busan Partnership for Effective Development Co-operation</w:t>
              </w:r>
            </w:hyperlink>
          </w:p>
        </w:tc>
      </w:tr>
      <w:tr w:rsidR="005F71A6" w:rsidRPr="005F71A6" w14:paraId="5048ED9A"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1081A3E8"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2014</w:t>
            </w:r>
          </w:p>
        </w:tc>
        <w:tc>
          <w:tcPr>
            <w:tcW w:w="0" w:type="auto"/>
            <w:hideMark/>
          </w:tcPr>
          <w:p w14:paraId="5879B606"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3" w:history="1">
              <w:r w:rsidR="005F71A6" w:rsidRPr="00BB033F">
                <w:rPr>
                  <w:rFonts w:cs="Arial"/>
                  <w:sz w:val="18"/>
                  <w:u w:val="single"/>
                </w:rPr>
                <w:t>GPEDC Mexico High Level Meeting Communiqué</w:t>
              </w:r>
            </w:hyperlink>
          </w:p>
        </w:tc>
      </w:tr>
      <w:tr w:rsidR="005F71A6" w:rsidRPr="005F71A6" w14:paraId="3D2DA3E0"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18D01C97"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2015</w:t>
            </w:r>
          </w:p>
        </w:tc>
        <w:tc>
          <w:tcPr>
            <w:tcW w:w="0" w:type="auto"/>
            <w:hideMark/>
          </w:tcPr>
          <w:p w14:paraId="02E59910" w14:textId="77777777" w:rsidR="005F71A6" w:rsidRPr="00BB033F"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4" w:history="1">
              <w:r w:rsidR="005F71A6" w:rsidRPr="00BB033F">
                <w:rPr>
                  <w:rFonts w:cs="Arial"/>
                  <w:sz w:val="18"/>
                  <w:u w:val="single"/>
                </w:rPr>
                <w:t>Addis Ababa Action Agenda</w:t>
              </w:r>
            </w:hyperlink>
          </w:p>
        </w:tc>
      </w:tr>
      <w:tr w:rsidR="005F71A6" w:rsidRPr="005F71A6" w14:paraId="103C5F29" w14:textId="77777777" w:rsidTr="00552B81">
        <w:tc>
          <w:tcPr>
            <w:cnfStyle w:val="001000000000" w:firstRow="0" w:lastRow="0" w:firstColumn="1" w:lastColumn="0" w:oddVBand="0" w:evenVBand="0" w:oddHBand="0" w:evenHBand="0" w:firstRowFirstColumn="0" w:firstRowLastColumn="0" w:lastRowFirstColumn="0" w:lastRowLastColumn="0"/>
            <w:tcW w:w="0" w:type="auto"/>
            <w:hideMark/>
          </w:tcPr>
          <w:p w14:paraId="1AF49089" w14:textId="77777777" w:rsidR="005F71A6" w:rsidRPr="005F71A6" w:rsidRDefault="005F71A6" w:rsidP="005F71A6">
            <w:pPr>
              <w:spacing w:before="120" w:line="260" w:lineRule="exact"/>
              <w:rPr>
                <w:rFonts w:asciiTheme="minorHAnsi" w:hAnsiTheme="minorHAnsi"/>
                <w:sz w:val="18"/>
              </w:rPr>
            </w:pPr>
            <w:r w:rsidRPr="005F71A6">
              <w:rPr>
                <w:rFonts w:asciiTheme="minorHAnsi" w:hAnsiTheme="minorHAnsi"/>
                <w:sz w:val="18"/>
              </w:rPr>
              <w:t>2016</w:t>
            </w:r>
          </w:p>
        </w:tc>
        <w:tc>
          <w:tcPr>
            <w:tcW w:w="0" w:type="auto"/>
            <w:hideMark/>
          </w:tcPr>
          <w:p w14:paraId="33599F2D" w14:textId="77777777" w:rsidR="005F71A6" w:rsidRPr="005F71A6" w:rsidRDefault="00793CC3" w:rsidP="005F71A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hyperlink r:id="rId25" w:history="1">
              <w:r w:rsidR="005F71A6" w:rsidRPr="00BB033F">
                <w:rPr>
                  <w:rFonts w:cs="Arial"/>
                  <w:sz w:val="18"/>
                  <w:u w:val="single"/>
                </w:rPr>
                <w:t>GPEDC Nairobi Outcome Document</w:t>
              </w:r>
            </w:hyperlink>
          </w:p>
        </w:tc>
      </w:tr>
    </w:tbl>
    <w:p w14:paraId="476E6B0A" w14:textId="5ECBF776" w:rsidR="003F1007" w:rsidRDefault="003F1007">
      <w:pPr>
        <w:spacing w:before="0" w:line="240" w:lineRule="auto"/>
        <w:rPr>
          <w:rFonts w:ascii="Trebuchet MS" w:hAnsi="Trebuchet MS"/>
          <w:b/>
          <w:bCs/>
          <w:color w:val="980000"/>
          <w:sz w:val="28"/>
          <w:szCs w:val="28"/>
        </w:rPr>
      </w:pPr>
    </w:p>
    <w:p w14:paraId="478550FC" w14:textId="77777777" w:rsidR="00552B81" w:rsidRDefault="00552B81">
      <w:pPr>
        <w:spacing w:before="0" w:line="240" w:lineRule="auto"/>
        <w:rPr>
          <w:b/>
          <w:bCs/>
          <w:color w:val="008ACC" w:themeColor="text2"/>
          <w:szCs w:val="20"/>
          <w:lang w:eastAsia="en-GB"/>
        </w:rPr>
      </w:pPr>
      <w:r>
        <w:br w:type="page"/>
      </w:r>
    </w:p>
    <w:p w14:paraId="3D0B90E4" w14:textId="3AB832E5" w:rsidR="003F1007" w:rsidRDefault="00FE6345" w:rsidP="00BB033F">
      <w:pPr>
        <w:pStyle w:val="Tabletitle"/>
      </w:pPr>
      <w:r w:rsidRPr="00BB033F">
        <w:lastRenderedPageBreak/>
        <w:t xml:space="preserve">Table 6: </w:t>
      </w:r>
      <w:r w:rsidR="003F1007" w:rsidRPr="00BB033F">
        <w:t xml:space="preserve">Metadata for </w:t>
      </w:r>
      <w:r w:rsidRPr="00BB033F">
        <w:t>i</w:t>
      </w:r>
      <w:r w:rsidR="003F1007" w:rsidRPr="00BB033F">
        <w:t>ndicator frameworks</w:t>
      </w:r>
    </w:p>
    <w:tbl>
      <w:tblPr>
        <w:tblStyle w:val="DItable"/>
        <w:tblW w:w="0" w:type="auto"/>
        <w:tblBorders>
          <w:top w:val="single" w:sz="8" w:space="0" w:color="008ACC" w:themeColor="accent1"/>
          <w:bottom w:val="single" w:sz="8" w:space="0" w:color="008ACC" w:themeColor="accent1"/>
          <w:insideH w:val="single" w:sz="8" w:space="0" w:color="008ACC" w:themeColor="accent1"/>
        </w:tblBorders>
        <w:tblLook w:val="04A0" w:firstRow="1" w:lastRow="0" w:firstColumn="1" w:lastColumn="0" w:noHBand="0" w:noVBand="1"/>
      </w:tblPr>
      <w:tblGrid>
        <w:gridCol w:w="2948"/>
        <w:gridCol w:w="1677"/>
        <w:gridCol w:w="2928"/>
      </w:tblGrid>
      <w:tr w:rsidR="00563B06" w:rsidRPr="00563B06" w14:paraId="76FF5A7F" w14:textId="77777777" w:rsidTr="00BB033F">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B6FBBF8" w14:textId="77777777" w:rsidR="00563B06" w:rsidRPr="00563B06" w:rsidRDefault="00563B06" w:rsidP="00563B06">
            <w:pPr>
              <w:spacing w:before="120" w:after="40" w:line="260" w:lineRule="exact"/>
              <w:rPr>
                <w:rFonts w:ascii="Times New Roman" w:hAnsi="Times New Roman" w:cs="Times New Roman"/>
                <w:bCs/>
                <w:color w:val="auto"/>
                <w:szCs w:val="20"/>
              </w:rPr>
            </w:pPr>
            <w:r w:rsidRPr="00BB033F">
              <w:rPr>
                <w:bCs/>
                <w:szCs w:val="20"/>
              </w:rPr>
              <w:t>Indicator </w:t>
            </w:r>
          </w:p>
        </w:tc>
        <w:tc>
          <w:tcPr>
            <w:tcW w:w="0" w:type="auto"/>
            <w:shd w:val="clear" w:color="auto" w:fill="FFFFFF" w:themeFill="background1"/>
            <w:hideMark/>
          </w:tcPr>
          <w:p w14:paraId="088B1747" w14:textId="77777777" w:rsidR="00563B06" w:rsidRPr="00BB033F" w:rsidRDefault="00563B06" w:rsidP="00563B06">
            <w:pPr>
              <w:spacing w:before="120" w:after="40" w:line="26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BB033F">
              <w:rPr>
                <w:bCs/>
                <w:szCs w:val="20"/>
              </w:rPr>
              <w:t>Data element</w:t>
            </w:r>
          </w:p>
        </w:tc>
        <w:tc>
          <w:tcPr>
            <w:tcW w:w="0" w:type="auto"/>
            <w:shd w:val="clear" w:color="auto" w:fill="FFFFFF" w:themeFill="background1"/>
            <w:hideMark/>
          </w:tcPr>
          <w:p w14:paraId="5B08ADC6" w14:textId="77777777" w:rsidR="00563B06" w:rsidRPr="00BB033F" w:rsidRDefault="00563B06" w:rsidP="00563B06">
            <w:pPr>
              <w:spacing w:before="120" w:after="40" w:line="26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BB033F">
              <w:rPr>
                <w:rFonts w:cs="Arial"/>
                <w:bCs/>
                <w:szCs w:val="20"/>
              </w:rPr>
              <w:t>Source </w:t>
            </w:r>
          </w:p>
        </w:tc>
      </w:tr>
      <w:tr w:rsidR="00563B06" w:rsidRPr="00563B06" w14:paraId="2D886664"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3D3FA49C"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Name</w:t>
            </w:r>
          </w:p>
        </w:tc>
        <w:tc>
          <w:tcPr>
            <w:tcW w:w="0" w:type="auto"/>
            <w:hideMark/>
          </w:tcPr>
          <w:p w14:paraId="4D9AD2DB"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Name</w:t>
            </w:r>
          </w:p>
        </w:tc>
        <w:tc>
          <w:tcPr>
            <w:tcW w:w="0" w:type="auto"/>
            <w:hideMark/>
          </w:tcPr>
          <w:p w14:paraId="479801C3"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Name</w:t>
            </w:r>
          </w:p>
        </w:tc>
      </w:tr>
      <w:tr w:rsidR="00563B06" w:rsidRPr="00563B06" w14:paraId="187E2C00"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64CCC7EB"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Definition / method of computation</w:t>
            </w:r>
          </w:p>
        </w:tc>
        <w:tc>
          <w:tcPr>
            <w:tcW w:w="0" w:type="auto"/>
            <w:hideMark/>
          </w:tcPr>
          <w:p w14:paraId="1F1E680D"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Definition</w:t>
            </w:r>
          </w:p>
        </w:tc>
        <w:tc>
          <w:tcPr>
            <w:tcW w:w="0" w:type="auto"/>
            <w:hideMark/>
          </w:tcPr>
          <w:p w14:paraId="6C8A80DA"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Owner / Funder / Collector</w:t>
            </w:r>
          </w:p>
        </w:tc>
      </w:tr>
      <w:tr w:rsidR="00563B06" w:rsidRPr="00563B06" w14:paraId="4ADED220"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3B6AB8C4"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Data elements</w:t>
            </w:r>
          </w:p>
        </w:tc>
        <w:tc>
          <w:tcPr>
            <w:tcW w:w="0" w:type="auto"/>
            <w:hideMark/>
          </w:tcPr>
          <w:p w14:paraId="083F1CF6"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Source</w:t>
            </w:r>
          </w:p>
        </w:tc>
        <w:tc>
          <w:tcPr>
            <w:tcW w:w="0" w:type="auto"/>
            <w:hideMark/>
          </w:tcPr>
          <w:p w14:paraId="7846B01A"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Type</w:t>
            </w:r>
          </w:p>
        </w:tc>
      </w:tr>
      <w:tr w:rsidR="00563B06" w:rsidRPr="00563B06" w14:paraId="486EFAE1"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612FF90E"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Rationale and interpretation</w:t>
            </w:r>
          </w:p>
        </w:tc>
        <w:tc>
          <w:tcPr>
            <w:tcW w:w="0" w:type="auto"/>
            <w:hideMark/>
          </w:tcPr>
          <w:p w14:paraId="0872695A"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Unit</w:t>
            </w:r>
          </w:p>
        </w:tc>
        <w:tc>
          <w:tcPr>
            <w:tcW w:w="0" w:type="auto"/>
            <w:hideMark/>
          </w:tcPr>
          <w:p w14:paraId="28405E50" w14:textId="61E17F45"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 xml:space="preserve">Primary / Secondary </w:t>
            </w:r>
            <w:r w:rsidR="00B44BFF">
              <w:rPr>
                <w:rFonts w:asciiTheme="minorHAnsi" w:hAnsiTheme="minorHAnsi"/>
                <w:sz w:val="18"/>
              </w:rPr>
              <w:t>d</w:t>
            </w:r>
            <w:r w:rsidRPr="00563B06">
              <w:rPr>
                <w:rFonts w:asciiTheme="minorHAnsi" w:hAnsiTheme="minorHAnsi"/>
                <w:sz w:val="18"/>
              </w:rPr>
              <w:t>ata</w:t>
            </w:r>
          </w:p>
        </w:tc>
      </w:tr>
      <w:tr w:rsidR="00563B06" w:rsidRPr="00563B06" w14:paraId="701B0152"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649B5F14"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Sources and data collection</w:t>
            </w:r>
          </w:p>
        </w:tc>
        <w:tc>
          <w:tcPr>
            <w:tcW w:w="0" w:type="auto"/>
            <w:hideMark/>
          </w:tcPr>
          <w:p w14:paraId="379B7E33"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Sector</w:t>
            </w:r>
          </w:p>
        </w:tc>
        <w:tc>
          <w:tcPr>
            <w:tcW w:w="0" w:type="auto"/>
            <w:hideMark/>
          </w:tcPr>
          <w:p w14:paraId="63452EA3"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Statistical Sector</w:t>
            </w:r>
          </w:p>
        </w:tc>
      </w:tr>
      <w:tr w:rsidR="00563B06" w:rsidRPr="00563B06" w14:paraId="6303E70D"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570EAC63"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Disaggregation</w:t>
            </w:r>
          </w:p>
        </w:tc>
        <w:tc>
          <w:tcPr>
            <w:tcW w:w="0" w:type="auto"/>
            <w:hideMark/>
          </w:tcPr>
          <w:p w14:paraId="68F826B5"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Data Type</w:t>
            </w:r>
          </w:p>
        </w:tc>
        <w:tc>
          <w:tcPr>
            <w:tcW w:w="0" w:type="auto"/>
            <w:hideMark/>
          </w:tcPr>
          <w:p w14:paraId="12F1D84E" w14:textId="6EB2F740"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 xml:space="preserve">Official </w:t>
            </w:r>
            <w:r w:rsidR="00B44BFF">
              <w:rPr>
                <w:rFonts w:asciiTheme="minorHAnsi" w:hAnsiTheme="minorHAnsi"/>
                <w:sz w:val="18"/>
              </w:rPr>
              <w:t>s</w:t>
            </w:r>
            <w:r w:rsidRPr="00563B06">
              <w:rPr>
                <w:rFonts w:asciiTheme="minorHAnsi" w:hAnsiTheme="minorHAnsi"/>
                <w:sz w:val="18"/>
              </w:rPr>
              <w:t>tatistics?</w:t>
            </w:r>
          </w:p>
        </w:tc>
      </w:tr>
      <w:tr w:rsidR="00563B06" w:rsidRPr="00563B06" w14:paraId="4829A4DC"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27C3B8D6" w14:textId="77777777" w:rsidR="00563B06" w:rsidRPr="00563B06" w:rsidRDefault="00563B06" w:rsidP="00563B06">
            <w:pPr>
              <w:spacing w:before="120" w:line="260" w:lineRule="exact"/>
              <w:rPr>
                <w:rFonts w:ascii="Times New Roman" w:hAnsi="Times New Roman" w:cs="Times New Roman"/>
                <w:color w:val="auto"/>
                <w:sz w:val="24"/>
                <w:szCs w:val="24"/>
              </w:rPr>
            </w:pPr>
            <w:r w:rsidRPr="00563B06">
              <w:rPr>
                <w:rFonts w:asciiTheme="minorHAnsi" w:hAnsiTheme="minorHAnsi"/>
                <w:sz w:val="18"/>
              </w:rPr>
              <w:t>Comments and limitations</w:t>
            </w:r>
          </w:p>
        </w:tc>
        <w:tc>
          <w:tcPr>
            <w:tcW w:w="0" w:type="auto"/>
            <w:hideMark/>
          </w:tcPr>
          <w:p w14:paraId="1A96BECA" w14:textId="77777777"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Point of collection </w:t>
            </w:r>
          </w:p>
        </w:tc>
        <w:tc>
          <w:tcPr>
            <w:tcW w:w="0" w:type="auto"/>
            <w:hideMark/>
          </w:tcPr>
          <w:p w14:paraId="24220514" w14:textId="1F06B033" w:rsidR="00563B06" w:rsidRPr="00563B06" w:rsidRDefault="00563B06"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3B06">
              <w:rPr>
                <w:rFonts w:asciiTheme="minorHAnsi" w:hAnsiTheme="minorHAnsi"/>
                <w:sz w:val="18"/>
              </w:rPr>
              <w:t xml:space="preserve">Sample </w:t>
            </w:r>
            <w:r w:rsidR="00B44BFF">
              <w:rPr>
                <w:rFonts w:asciiTheme="minorHAnsi" w:hAnsiTheme="minorHAnsi"/>
                <w:sz w:val="18"/>
              </w:rPr>
              <w:t>s</w:t>
            </w:r>
            <w:r w:rsidRPr="00563B06">
              <w:rPr>
                <w:rFonts w:asciiTheme="minorHAnsi" w:hAnsiTheme="minorHAnsi"/>
                <w:sz w:val="18"/>
              </w:rPr>
              <w:t>ize (%)</w:t>
            </w:r>
          </w:p>
        </w:tc>
      </w:tr>
      <w:tr w:rsidR="0055143A" w:rsidRPr="00563B06" w14:paraId="7147D937"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5719C19B" w14:textId="2BF88A22" w:rsidR="0055143A" w:rsidRPr="00563B06" w:rsidRDefault="0055143A" w:rsidP="00563B06">
            <w:pPr>
              <w:spacing w:before="120" w:line="260" w:lineRule="exact"/>
              <w:rPr>
                <w:rFonts w:asciiTheme="minorHAnsi" w:hAnsiTheme="minorHAnsi"/>
                <w:sz w:val="18"/>
              </w:rPr>
            </w:pPr>
            <w:r w:rsidRPr="00563B06">
              <w:rPr>
                <w:rFonts w:asciiTheme="minorHAnsi" w:hAnsiTheme="minorHAnsi"/>
                <w:sz w:val="18"/>
              </w:rPr>
              <w:t>Supplementary information</w:t>
            </w:r>
          </w:p>
        </w:tc>
        <w:tc>
          <w:tcPr>
            <w:tcW w:w="0" w:type="auto"/>
          </w:tcPr>
          <w:p w14:paraId="122541EF" w14:textId="77777777" w:rsidR="0055143A" w:rsidRPr="00563B06" w:rsidRDefault="0055143A"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3A5F3382" w14:textId="7E098938" w:rsidR="0055143A" w:rsidRPr="00563B06" w:rsidRDefault="0055143A" w:rsidP="00563B06">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 xml:space="preserve">Scope / Geographic </w:t>
            </w:r>
            <w:r w:rsidR="00B44BFF">
              <w:rPr>
                <w:rFonts w:asciiTheme="minorHAnsi" w:hAnsiTheme="minorHAnsi"/>
                <w:sz w:val="18"/>
              </w:rPr>
              <w:t>c</w:t>
            </w:r>
            <w:r w:rsidRPr="00563B06">
              <w:rPr>
                <w:rFonts w:asciiTheme="minorHAnsi" w:hAnsiTheme="minorHAnsi"/>
                <w:sz w:val="18"/>
              </w:rPr>
              <w:t>overage (%)</w:t>
            </w:r>
          </w:p>
        </w:tc>
      </w:tr>
      <w:tr w:rsidR="0055143A" w:rsidRPr="00563B06" w14:paraId="0BDB4249"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2E5CB304" w14:textId="7ADDD3B4" w:rsidR="0055143A" w:rsidRPr="00563B06" w:rsidRDefault="0055143A" w:rsidP="0055143A">
            <w:pPr>
              <w:spacing w:before="120" w:line="260" w:lineRule="exact"/>
              <w:rPr>
                <w:rFonts w:asciiTheme="minorHAnsi" w:hAnsiTheme="minorHAnsi"/>
                <w:sz w:val="18"/>
              </w:rPr>
            </w:pPr>
            <w:r w:rsidRPr="00563B06">
              <w:rPr>
                <w:rFonts w:asciiTheme="minorHAnsi" w:hAnsiTheme="minorHAnsi"/>
                <w:sz w:val="18"/>
              </w:rPr>
              <w:t>Responsible entities</w:t>
            </w:r>
          </w:p>
        </w:tc>
        <w:tc>
          <w:tcPr>
            <w:tcW w:w="0" w:type="auto"/>
          </w:tcPr>
          <w:p w14:paraId="354C6610"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4EF443D6" w14:textId="557D7050"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 xml:space="preserve">Level of </w:t>
            </w:r>
            <w:r w:rsidR="00B44BFF">
              <w:rPr>
                <w:rFonts w:asciiTheme="minorHAnsi" w:hAnsiTheme="minorHAnsi"/>
                <w:sz w:val="18"/>
              </w:rPr>
              <w:t>d</w:t>
            </w:r>
            <w:r w:rsidRPr="00563B06">
              <w:rPr>
                <w:rFonts w:asciiTheme="minorHAnsi" w:hAnsiTheme="minorHAnsi"/>
                <w:sz w:val="18"/>
              </w:rPr>
              <w:t>isaggregation</w:t>
            </w:r>
          </w:p>
        </w:tc>
      </w:tr>
      <w:tr w:rsidR="0055143A" w:rsidRPr="00563B06" w14:paraId="7E5ACDC4"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00BF1FBE" w14:textId="257CB2D4" w:rsidR="0055143A" w:rsidRPr="00563B06" w:rsidRDefault="0055143A" w:rsidP="0055143A">
            <w:pPr>
              <w:spacing w:before="120" w:line="260" w:lineRule="exact"/>
              <w:rPr>
                <w:rFonts w:asciiTheme="minorHAnsi" w:hAnsiTheme="minorHAnsi"/>
                <w:sz w:val="18"/>
              </w:rPr>
            </w:pPr>
            <w:r w:rsidRPr="00563B06">
              <w:rPr>
                <w:rFonts w:asciiTheme="minorHAnsi" w:hAnsiTheme="minorHAnsi"/>
                <w:sz w:val="18"/>
              </w:rPr>
              <w:t>Current data availability</w:t>
            </w:r>
          </w:p>
        </w:tc>
        <w:tc>
          <w:tcPr>
            <w:tcW w:w="0" w:type="auto"/>
          </w:tcPr>
          <w:p w14:paraId="3F316336"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64B7E861" w14:textId="163A470F"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Frequency</w:t>
            </w:r>
          </w:p>
        </w:tc>
      </w:tr>
      <w:tr w:rsidR="0055143A" w:rsidRPr="00563B06" w14:paraId="28E9197A"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752B7B3C" w14:textId="77777777" w:rsidR="0055143A" w:rsidRPr="00563B06" w:rsidRDefault="0055143A" w:rsidP="0055143A">
            <w:pPr>
              <w:spacing w:before="120" w:line="260" w:lineRule="exact"/>
              <w:rPr>
                <w:rFonts w:asciiTheme="minorHAnsi" w:hAnsiTheme="minorHAnsi"/>
                <w:sz w:val="18"/>
              </w:rPr>
            </w:pPr>
          </w:p>
        </w:tc>
        <w:tc>
          <w:tcPr>
            <w:tcW w:w="0" w:type="auto"/>
          </w:tcPr>
          <w:p w14:paraId="2023ABBA"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137FCD06" w14:textId="40B7E07D"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Latest / Next / Previous</w:t>
            </w:r>
          </w:p>
        </w:tc>
      </w:tr>
      <w:tr w:rsidR="0055143A" w:rsidRPr="00563B06" w14:paraId="0FAF5578"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114AB083" w14:textId="77777777" w:rsidR="0055143A" w:rsidRPr="00563B06" w:rsidRDefault="0055143A" w:rsidP="0055143A">
            <w:pPr>
              <w:spacing w:before="120" w:line="260" w:lineRule="exact"/>
              <w:rPr>
                <w:rFonts w:asciiTheme="minorHAnsi" w:hAnsiTheme="minorHAnsi"/>
                <w:sz w:val="18"/>
              </w:rPr>
            </w:pPr>
          </w:p>
        </w:tc>
        <w:tc>
          <w:tcPr>
            <w:tcW w:w="0" w:type="auto"/>
          </w:tcPr>
          <w:p w14:paraId="796242E4"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49AD1299" w14:textId="692BE29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Time lag</w:t>
            </w:r>
          </w:p>
        </w:tc>
      </w:tr>
      <w:tr w:rsidR="0055143A" w:rsidRPr="00563B06" w14:paraId="03071302"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61A5A9CB" w14:textId="77777777" w:rsidR="0055143A" w:rsidRPr="00563B06" w:rsidRDefault="0055143A" w:rsidP="0055143A">
            <w:pPr>
              <w:spacing w:before="120" w:line="260" w:lineRule="exact"/>
              <w:rPr>
                <w:rFonts w:asciiTheme="minorHAnsi" w:hAnsiTheme="minorHAnsi"/>
                <w:sz w:val="18"/>
              </w:rPr>
            </w:pPr>
          </w:p>
        </w:tc>
        <w:tc>
          <w:tcPr>
            <w:tcW w:w="0" w:type="auto"/>
          </w:tcPr>
          <w:p w14:paraId="2B6FC303"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79992400" w14:textId="53A0AA20"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Access</w:t>
            </w:r>
          </w:p>
        </w:tc>
      </w:tr>
      <w:tr w:rsidR="0055143A" w:rsidRPr="00563B06" w14:paraId="7DF49A4C" w14:textId="77777777" w:rsidTr="00552B81">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0931ED8E" w14:textId="77777777" w:rsidR="0055143A" w:rsidRPr="00563B06" w:rsidRDefault="0055143A" w:rsidP="0055143A">
            <w:pPr>
              <w:spacing w:before="120" w:line="260" w:lineRule="exact"/>
              <w:rPr>
                <w:rFonts w:asciiTheme="minorHAnsi" w:hAnsiTheme="minorHAnsi"/>
                <w:sz w:val="18"/>
              </w:rPr>
            </w:pPr>
          </w:p>
        </w:tc>
        <w:tc>
          <w:tcPr>
            <w:tcW w:w="0" w:type="auto"/>
          </w:tcPr>
          <w:p w14:paraId="5B731509" w14:textId="77777777"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0" w:type="auto"/>
          </w:tcPr>
          <w:p w14:paraId="68FAF0CB" w14:textId="0A843AE4" w:rsidR="0055143A" w:rsidRPr="00563B06" w:rsidRDefault="0055143A" w:rsidP="0055143A">
            <w:pPr>
              <w:spacing w:before="120"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63B06">
              <w:rPr>
                <w:rFonts w:asciiTheme="minorHAnsi" w:hAnsiTheme="minorHAnsi"/>
                <w:sz w:val="18"/>
              </w:rPr>
              <w:t>Data / metadata u.r.l</w:t>
            </w:r>
          </w:p>
        </w:tc>
      </w:tr>
    </w:tbl>
    <w:p w14:paraId="5E8D0667" w14:textId="30B6A34C" w:rsidR="003F1007" w:rsidRPr="00FE6345" w:rsidRDefault="003F1007" w:rsidP="0025301F">
      <w:pPr>
        <w:pStyle w:val="Source"/>
      </w:pPr>
      <w:r w:rsidRPr="00FE6345">
        <w:t xml:space="preserve">Source: Indicator metadata based on </w:t>
      </w:r>
      <w:hyperlink r:id="rId26" w:history="1">
        <w:r w:rsidRPr="00FE6345">
          <w:rPr>
            <w:rStyle w:val="Hyperlink"/>
            <w:rFonts w:asciiTheme="minorHAnsi" w:hAnsiTheme="minorHAnsi"/>
            <w:color w:val="453F43" w:themeColor="background2"/>
            <w:u w:val="none"/>
          </w:rPr>
          <w:t>SDG metadata database</w:t>
        </w:r>
      </w:hyperlink>
      <w:r w:rsidRPr="00FE6345">
        <w:t>. Data element and source data based on D</w:t>
      </w:r>
      <w:r w:rsidR="0094684E">
        <w:t xml:space="preserve">evelopment </w:t>
      </w:r>
      <w:r w:rsidRPr="00FE6345">
        <w:t>I</w:t>
      </w:r>
      <w:r w:rsidR="0094684E">
        <w:t>nitiatives’</w:t>
      </w:r>
      <w:r w:rsidRPr="00FE6345">
        <w:t xml:space="preserve"> </w:t>
      </w:r>
      <w:hyperlink r:id="rId27" w:history="1">
        <w:r w:rsidRPr="00FE6345">
          <w:rPr>
            <w:rStyle w:val="Hyperlink"/>
            <w:rFonts w:asciiTheme="minorHAnsi" w:hAnsiTheme="minorHAnsi"/>
            <w:color w:val="453F43" w:themeColor="background2"/>
            <w:u w:val="none"/>
          </w:rPr>
          <w:t>Uganda’s data ecosystem.</w:t>
        </w:r>
      </w:hyperlink>
      <w:r w:rsidR="00552B81">
        <w:rPr>
          <w:rStyle w:val="Hyperlink"/>
          <w:rFonts w:asciiTheme="minorHAnsi" w:hAnsiTheme="minorHAnsi"/>
          <w:color w:val="453F43" w:themeColor="background2"/>
          <w:u w:val="none"/>
        </w:rPr>
        <w:t xml:space="preserve"> Available at: </w:t>
      </w:r>
      <w:hyperlink r:id="rId28" w:history="1">
        <w:r w:rsidR="00552B81" w:rsidRPr="00BB033F">
          <w:rPr>
            <w:rStyle w:val="Hyperlink"/>
            <w:rFonts w:asciiTheme="minorHAnsi" w:hAnsiTheme="minorHAnsi"/>
            <w:color w:val="453F43" w:themeColor="background2"/>
          </w:rPr>
          <w:t>https://unstats.un.org/sdgs/metadata/</w:t>
        </w:r>
      </w:hyperlink>
      <w:r w:rsidR="00552B81">
        <w:rPr>
          <w:rStyle w:val="Hyperlink"/>
          <w:rFonts w:asciiTheme="minorHAnsi" w:hAnsiTheme="minorHAnsi"/>
          <w:color w:val="453F43" w:themeColor="background2"/>
          <w:u w:val="none"/>
        </w:rPr>
        <w:t xml:space="preserve"> and </w:t>
      </w:r>
      <w:hyperlink r:id="rId29" w:history="1">
        <w:r w:rsidR="00552B81" w:rsidRPr="00BB033F">
          <w:rPr>
            <w:rStyle w:val="Hyperlink"/>
            <w:rFonts w:asciiTheme="minorHAnsi" w:hAnsiTheme="minorHAnsi"/>
            <w:color w:val="453F43" w:themeColor="background2"/>
          </w:rPr>
          <w:t>https://devinit.org/resources/ugandas-data-ecosystem/</w:t>
        </w:r>
      </w:hyperlink>
      <w:r w:rsidR="00552B81">
        <w:rPr>
          <w:rStyle w:val="Hyperlink"/>
          <w:rFonts w:asciiTheme="minorHAnsi" w:hAnsiTheme="minorHAnsi"/>
          <w:color w:val="453F43" w:themeColor="background2"/>
          <w:u w:val="none"/>
        </w:rPr>
        <w:t xml:space="preserve"> </w:t>
      </w:r>
    </w:p>
    <w:p w14:paraId="7C8BA2F0" w14:textId="77777777" w:rsidR="003F1007" w:rsidRPr="003F1007" w:rsidRDefault="003F1007" w:rsidP="003F1007">
      <w:pPr>
        <w:spacing w:before="0" w:line="240" w:lineRule="auto"/>
        <w:rPr>
          <w:rFonts w:ascii="Trebuchet MS" w:hAnsi="Trebuchet MS"/>
          <w:b/>
          <w:bCs/>
          <w:color w:val="980000"/>
          <w:sz w:val="28"/>
          <w:szCs w:val="28"/>
        </w:rPr>
      </w:pPr>
    </w:p>
    <w:bookmarkEnd w:id="5"/>
    <w:bookmarkEnd w:id="6"/>
    <w:p w14:paraId="2F3A47FD" w14:textId="77777777" w:rsidR="003F1007" w:rsidRDefault="003F1007">
      <w:pPr>
        <w:spacing w:before="0" w:line="240" w:lineRule="auto"/>
        <w:rPr>
          <w:rFonts w:asciiTheme="majorHAnsi" w:eastAsiaTheme="majorEastAsia" w:hAnsiTheme="majorHAnsi" w:cstheme="majorBidi"/>
          <w:b/>
          <w:bCs/>
          <w:color w:val="008ACC" w:themeColor="text2"/>
          <w:sz w:val="60"/>
          <w:szCs w:val="32"/>
        </w:rPr>
      </w:pPr>
      <w:r>
        <w:br w:type="page"/>
      </w:r>
    </w:p>
    <w:p w14:paraId="0BF7290E" w14:textId="169D650C" w:rsidR="00584375" w:rsidRDefault="00584375" w:rsidP="0045351C">
      <w:pPr>
        <w:pStyle w:val="Heading1"/>
        <w:sectPr w:rsidR="00584375" w:rsidSect="00387F70">
          <w:footerReference w:type="default" r:id="rId30"/>
          <w:headerReference w:type="first" r:id="rId31"/>
          <w:endnotePr>
            <w:numFmt w:val="decimal"/>
          </w:endnotePr>
          <w:pgSz w:w="11906" w:h="16838" w:code="9"/>
          <w:pgMar w:top="1701" w:right="1701" w:bottom="1559" w:left="2268" w:header="709" w:footer="709" w:gutter="0"/>
          <w:pgNumType w:start="0"/>
          <w:cols w:space="708"/>
          <w:titlePg/>
          <w:docGrid w:linePitch="360"/>
        </w:sectPr>
      </w:pPr>
      <w:bookmarkStart w:id="19" w:name="_Toc94984935"/>
      <w:r>
        <w:lastRenderedPageBreak/>
        <w:t>Notes</w:t>
      </w:r>
      <w:bookmarkEnd w:id="19"/>
    </w:p>
    <w:p w14:paraId="23EEBFCD" w14:textId="77777777" w:rsidR="00584375" w:rsidRDefault="00584375" w:rsidP="00584375">
      <w:pPr>
        <w:rPr>
          <w:color w:val="auto"/>
          <w:sz w:val="22"/>
        </w:rPr>
      </w:pPr>
    </w:p>
    <w:p w14:paraId="1940DA6A" w14:textId="2AFB9FF5" w:rsidR="00584375" w:rsidRDefault="00793CC3" w:rsidP="00394858">
      <w:pPr>
        <w:pStyle w:val="Backpagetext"/>
        <w:tabs>
          <w:tab w:val="center" w:pos="4513"/>
        </w:tabs>
        <w:rPr>
          <w:color w:val="auto"/>
          <w:sz w:val="22"/>
        </w:rPr>
      </w:pPr>
      <w:sdt>
        <w:sdtPr>
          <w:id w:val="181645156"/>
          <w:docPartObj>
            <w:docPartGallery w:val="Cover Pages"/>
          </w:docPartObj>
        </w:sdtPr>
        <w:sdtEndPr>
          <w:rPr>
            <w:color w:val="auto"/>
            <w:sz w:val="22"/>
          </w:rPr>
        </w:sdtEndPr>
        <w:sdtContent>
          <w:r w:rsidR="00101EC9">
            <w:rPr>
              <w:rFonts w:ascii="Times New Roman" w:hAnsi="Times New Roman" w:cs="Times New Roman"/>
              <w:noProof/>
              <w:color w:val="auto"/>
              <w:sz w:val="24"/>
              <w:szCs w:val="24"/>
              <w:lang w:eastAsia="en-GB"/>
            </w:rPr>
            <mc:AlternateContent>
              <mc:Choice Requires="wps">
                <w:drawing>
                  <wp:anchor distT="0" distB="0" distL="114300" distR="114300" simplePos="0" relativeHeight="251658247" behindDoc="0" locked="0" layoutInCell="1" allowOverlap="1" wp14:anchorId="49AC2025" wp14:editId="0B5CCE0A">
                    <wp:simplePos x="0" y="0"/>
                    <wp:positionH relativeFrom="margin">
                      <wp:posOffset>527050</wp:posOffset>
                    </wp:positionH>
                    <wp:positionV relativeFrom="paragraph">
                      <wp:posOffset>3465830</wp:posOffset>
                    </wp:positionV>
                    <wp:extent cx="3117850" cy="5209540"/>
                    <wp:effectExtent l="0" t="0" r="0"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5209540"/>
                            </a:xfrm>
                            <a:prstGeom prst="rect">
                              <a:avLst/>
                            </a:prstGeom>
                            <a:noFill/>
                            <a:ln>
                              <a:noFill/>
                            </a:ln>
                            <a:effectLst/>
                            <a:extLst>
                              <a:ext uri="{C572A759-6A51-4108-AA02-DFA0A04FC94B}"/>
                            </a:extLst>
                          </wps:spPr>
                          <wps:txbx>
                            <w:txbxContent>
                              <w:p w14:paraId="4DDA6DA0" w14:textId="77777777" w:rsidR="0025301F" w:rsidRPr="0005795A" w:rsidRDefault="0025301F" w:rsidP="00236CCF">
                                <w:pPr>
                                  <w:pStyle w:val="Backpagetext"/>
                                  <w:rPr>
                                    <w:rFonts w:cs="Arial"/>
                                    <w:color w:val="6B656A"/>
                                  </w:rPr>
                                </w:pPr>
                                <w:r w:rsidRPr="0005795A">
                                  <w:rPr>
                                    <w:rFonts w:cs="Arial"/>
                                    <w:color w:val="6B656A"/>
                                  </w:rPr>
                                  <w:t>Development Initiatives</w:t>
                                </w:r>
                                <w:r>
                                  <w:rPr>
                                    <w:rFonts w:cs="Arial"/>
                                    <w:color w:val="6B656A"/>
                                  </w:rPr>
                                  <w:t xml:space="preserve"> (DI)</w:t>
                                </w:r>
                                <w:r w:rsidRPr="0005795A">
                                  <w:rPr>
                                    <w:rFonts w:cs="Arial"/>
                                    <w:color w:val="6B656A"/>
                                  </w:rPr>
                                  <w:t xml:space="preserve"> applies the power of data and evidence to build sustainable solutions. </w:t>
                                </w:r>
                              </w:p>
                              <w:p w14:paraId="4FAC65B2" w14:textId="77777777" w:rsidR="0025301F" w:rsidRPr="0005795A" w:rsidRDefault="0025301F" w:rsidP="00236CCF">
                                <w:pPr>
                                  <w:pStyle w:val="Backpagetext"/>
                                  <w:rPr>
                                    <w:rFonts w:cs="Arial"/>
                                    <w:color w:val="6B656A"/>
                                  </w:rPr>
                                </w:pPr>
                                <w:r w:rsidRPr="0005795A">
                                  <w:rPr>
                                    <w:rFonts w:cs="Arial"/>
                                    <w:color w:val="6B656A"/>
                                  </w:rPr>
                                  <w:t xml:space="preserve">Our mission is to work closely with partners to ensure data-driven evidence and analysis are used effectively in policy and practice to end poverty, reduce inequality and increase resilience. </w:t>
                                </w:r>
                              </w:p>
                              <w:p w14:paraId="23C63DF3" w14:textId="77777777" w:rsidR="0025301F" w:rsidRDefault="0025301F" w:rsidP="00236CCF">
                                <w:pPr>
                                  <w:pStyle w:val="Backpagetext"/>
                                  <w:rPr>
                                    <w:rFonts w:cs="Arial"/>
                                    <w:color w:val="6B656A"/>
                                  </w:rPr>
                                </w:pPr>
                                <w:r w:rsidRPr="0005795A">
                                  <w:rPr>
                                    <w:rFonts w:cs="Arial"/>
                                    <w:color w:val="6B656A"/>
                                  </w:rPr>
                                  <w:t xml:space="preserve">While data alone cannot bring about a better world, it is a vital part of achieving it. Data has the power to unlock insight, shine a light on progress and empower people to increase accountability. </w:t>
                                </w:r>
                              </w:p>
                              <w:p w14:paraId="0743566B" w14:textId="77777777" w:rsidR="0025301F" w:rsidRDefault="0025301F" w:rsidP="00236CCF">
                                <w:pPr>
                                  <w:pStyle w:val="Backpagetext"/>
                                  <w:rPr>
                                    <w:rFonts w:cs="Arial"/>
                                    <w:color w:val="6B656A"/>
                                  </w:rPr>
                                </w:pPr>
                                <w:r>
                                  <w:rPr>
                                    <w:rFonts w:cs="Arial"/>
                                    <w:color w:val="6B656A"/>
                                  </w:rPr>
                                  <w:t>Content produced by Development Initiatives is licensed under a Creative Commons Attribution BY-NC-ND 4.0 International license, unless stated otherwise on an image or page.</w:t>
                                </w:r>
                              </w:p>
                              <w:p w14:paraId="3D56F0C2" w14:textId="0654CE10" w:rsidR="0025301F" w:rsidRDefault="0025301F" w:rsidP="00236CCF">
                                <w:pPr>
                                  <w:pStyle w:val="Backpagetext"/>
                                  <w:rPr>
                                    <w:rFonts w:cs="Arial"/>
                                    <w:color w:val="6B656A"/>
                                  </w:rPr>
                                </w:pPr>
                                <w:r>
                                  <w:rPr>
                                    <w:rFonts w:cs="Arial"/>
                                    <w:color w:val="6B656A"/>
                                  </w:rPr>
                                  <w:t>Contact</w:t>
                                </w:r>
                                <w:r>
                                  <w:rPr>
                                    <w:rFonts w:cs="Arial"/>
                                    <w:color w:val="6B656A"/>
                                  </w:rPr>
                                  <w:br/>
                                  <w:t>Bill Anderson</w:t>
                                </w:r>
                                <w:r>
                                  <w:rPr>
                                    <w:rFonts w:cs="Arial"/>
                                    <w:color w:val="6B656A"/>
                                  </w:rPr>
                                  <w:br/>
                                  <w:t>Information Architect</w:t>
                                </w:r>
                                <w:r>
                                  <w:rPr>
                                    <w:rFonts w:cs="Arial"/>
                                    <w:color w:val="6B656A"/>
                                  </w:rPr>
                                  <w:br/>
                                  <w:t>bill.anderson@devinit.org</w:t>
                                </w:r>
                              </w:p>
                              <w:p w14:paraId="4B5F0A8F" w14:textId="77777777" w:rsidR="0025301F" w:rsidRDefault="0025301F" w:rsidP="00236CCF">
                                <w:pPr>
                                  <w:pStyle w:val="Backpagetext"/>
                                  <w:rPr>
                                    <w:rFonts w:cs="Arial"/>
                                    <w:color w:val="6B656A"/>
                                    <w:szCs w:val="16"/>
                                  </w:rPr>
                                </w:pPr>
                                <w:r>
                                  <w:rPr>
                                    <w:rFonts w:cs="Arial"/>
                                    <w:color w:val="6B656A"/>
                                    <w:szCs w:val="16"/>
                                  </w:rPr>
                                  <w:t>To find out more about our work visit:</w:t>
                                </w:r>
                                <w:r>
                                  <w:rPr>
                                    <w:rFonts w:cs="Arial"/>
                                    <w:color w:val="6B656A"/>
                                    <w:szCs w:val="16"/>
                                  </w:rPr>
                                  <w:br/>
                                </w:r>
                                <w:hyperlink r:id="rId32" w:history="1">
                                  <w:r>
                                    <w:rPr>
                                      <w:rStyle w:val="Hyperlink"/>
                                      <w:szCs w:val="16"/>
                                    </w:rPr>
                                    <w:t>www.devinit.org</w:t>
                                  </w:r>
                                </w:hyperlink>
                                <w:r>
                                  <w:rPr>
                                    <w:rFonts w:cs="Arial"/>
                                    <w:color w:val="6B656A"/>
                                    <w:szCs w:val="16"/>
                                  </w:rPr>
                                  <w:br/>
                                  <w:t>Twitter: @devinitorg</w:t>
                                </w:r>
                                <w:r>
                                  <w:rPr>
                                    <w:rFonts w:cs="Arial"/>
                                    <w:color w:val="6B656A"/>
                                    <w:szCs w:val="16"/>
                                  </w:rPr>
                                  <w:br/>
                                  <w:t xml:space="preserve">Email: </w:t>
                                </w:r>
                                <w:hyperlink r:id="rId33" w:history="1">
                                  <w:r>
                                    <w:rPr>
                                      <w:rStyle w:val="Hyperlink"/>
                                      <w:szCs w:val="16"/>
                                    </w:rPr>
                                    <w:t>info@devinit.org</w:t>
                                  </w:r>
                                </w:hyperlink>
                              </w:p>
                              <w:p w14:paraId="1824DFC0" w14:textId="77777777" w:rsidR="0025301F" w:rsidRDefault="0025301F" w:rsidP="00236CCF">
                                <w:pPr>
                                  <w:pStyle w:val="Backpagetext"/>
                                  <w:rPr>
                                    <w:rFonts w:cs="Arial"/>
                                    <w:color w:val="6B656A"/>
                                  </w:rPr>
                                </w:pPr>
                                <w:r>
                                  <w:rPr>
                                    <w:rFonts w:cs="Arial"/>
                                    <w:color w:val="6B656A"/>
                                  </w:rPr>
                                  <w:t xml:space="preserve">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  </w:t>
                                </w:r>
                              </w:p>
                              <w:p w14:paraId="59A88D62" w14:textId="77777777" w:rsidR="0025301F" w:rsidRDefault="0025301F" w:rsidP="00236CCF">
                                <w:pPr>
                                  <w:pStyle w:val="Backpagetext"/>
                                </w:pPr>
                              </w:p>
                              <w:p w14:paraId="73E2F1EA" w14:textId="77777777" w:rsidR="0025301F" w:rsidRDefault="0025301F" w:rsidP="00101EC9">
                                <w:pPr>
                                  <w:pStyle w:val="Backpag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2025" id="Text Box 3" o:spid="_x0000_s1027" type="#_x0000_t202" style="position:absolute;margin-left:41.5pt;margin-top:272.9pt;width:245.5pt;height:410.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" filled="f" stroked="f">
                    <v:textbox>
                      <w:txbxContent>
                        <w:p w14:paraId="4DDA6DA0" w14:textId="77777777" w:rsidR="0025301F" w:rsidRPr="0005795A" w:rsidRDefault="0025301F" w:rsidP="00236CCF">
                          <w:pPr>
                            <w:pStyle w:val="Backpagetext"/>
                            <w:rPr>
                              <w:rFonts w:cs="Arial"/>
                              <w:color w:val="6B656A"/>
                            </w:rPr>
                          </w:pPr>
                          <w:r w:rsidRPr="0005795A">
                            <w:rPr>
                              <w:rFonts w:cs="Arial"/>
                              <w:color w:val="6B656A"/>
                            </w:rPr>
                            <w:t>Development Initiatives</w:t>
                          </w:r>
                          <w:r>
                            <w:rPr>
                              <w:rFonts w:cs="Arial"/>
                              <w:color w:val="6B656A"/>
                            </w:rPr>
                            <w:t xml:space="preserve"> (DI)</w:t>
                          </w:r>
                          <w:r w:rsidRPr="0005795A">
                            <w:rPr>
                              <w:rFonts w:cs="Arial"/>
                              <w:color w:val="6B656A"/>
                            </w:rPr>
                            <w:t xml:space="preserve"> applies the power of data and evidence to build sustainable solutions. </w:t>
                          </w:r>
                        </w:p>
                        <w:p w14:paraId="4FAC65B2" w14:textId="77777777" w:rsidR="0025301F" w:rsidRPr="0005795A" w:rsidRDefault="0025301F" w:rsidP="00236CCF">
                          <w:pPr>
                            <w:pStyle w:val="Backpagetext"/>
                            <w:rPr>
                              <w:rFonts w:cs="Arial"/>
                              <w:color w:val="6B656A"/>
                            </w:rPr>
                          </w:pPr>
                          <w:r w:rsidRPr="0005795A">
                            <w:rPr>
                              <w:rFonts w:cs="Arial"/>
                              <w:color w:val="6B656A"/>
                            </w:rPr>
                            <w:t xml:space="preserve">Our mission is to work closely with partners to ensure data-driven evidence and analysis are used effectively in policy and practice to end poverty, reduce inequality and increase resilience. </w:t>
                          </w:r>
                        </w:p>
                        <w:p w14:paraId="23C63DF3" w14:textId="77777777" w:rsidR="0025301F" w:rsidRDefault="0025301F" w:rsidP="00236CCF">
                          <w:pPr>
                            <w:pStyle w:val="Backpagetext"/>
                            <w:rPr>
                              <w:rFonts w:cs="Arial"/>
                              <w:color w:val="6B656A"/>
                            </w:rPr>
                          </w:pPr>
                          <w:r w:rsidRPr="0005795A">
                            <w:rPr>
                              <w:rFonts w:cs="Arial"/>
                              <w:color w:val="6B656A"/>
                            </w:rPr>
                            <w:t xml:space="preserve">While data alone cannot bring about a better world, it is a vital part of achieving it. Data has the power to unlock insight, shine a light on progress and empower people to increase accountability. </w:t>
                          </w:r>
                        </w:p>
                        <w:p w14:paraId="0743566B" w14:textId="77777777" w:rsidR="0025301F" w:rsidRDefault="0025301F" w:rsidP="00236CCF">
                          <w:pPr>
                            <w:pStyle w:val="Backpagetext"/>
                            <w:rPr>
                              <w:rFonts w:cs="Arial"/>
                              <w:color w:val="6B656A"/>
                            </w:rPr>
                          </w:pPr>
                          <w:r>
                            <w:rPr>
                              <w:rFonts w:cs="Arial"/>
                              <w:color w:val="6B656A"/>
                            </w:rPr>
                            <w:t>Content produced by Development Initiatives is licensed under a Creative Commons Attribution BY-NC-ND 4.0 International license, unless stated otherwise on an image or page.</w:t>
                          </w:r>
                        </w:p>
                        <w:p w14:paraId="3D56F0C2" w14:textId="0654CE10" w:rsidR="0025301F" w:rsidRDefault="0025301F" w:rsidP="00236CCF">
                          <w:pPr>
                            <w:pStyle w:val="Backpagetext"/>
                            <w:rPr>
                              <w:rFonts w:cs="Arial"/>
                              <w:color w:val="6B656A"/>
                            </w:rPr>
                          </w:pPr>
                          <w:r>
                            <w:rPr>
                              <w:rFonts w:cs="Arial"/>
                              <w:color w:val="6B656A"/>
                            </w:rPr>
                            <w:t>Contact</w:t>
                          </w:r>
                          <w:r>
                            <w:rPr>
                              <w:rFonts w:cs="Arial"/>
                              <w:color w:val="6B656A"/>
                            </w:rPr>
                            <w:br/>
                            <w:t>Bill Anderson</w:t>
                          </w:r>
                          <w:r>
                            <w:rPr>
                              <w:rFonts w:cs="Arial"/>
                              <w:color w:val="6B656A"/>
                            </w:rPr>
                            <w:br/>
                            <w:t>Information Architect</w:t>
                          </w:r>
                          <w:r>
                            <w:rPr>
                              <w:rFonts w:cs="Arial"/>
                              <w:color w:val="6B656A"/>
                            </w:rPr>
                            <w:br/>
                            <w:t>bill.anderson@devinit.org</w:t>
                          </w:r>
                        </w:p>
                        <w:p w14:paraId="4B5F0A8F" w14:textId="77777777" w:rsidR="0025301F" w:rsidRDefault="0025301F" w:rsidP="00236CCF">
                          <w:pPr>
                            <w:pStyle w:val="Backpagetext"/>
                            <w:rPr>
                              <w:rFonts w:cs="Arial"/>
                              <w:color w:val="6B656A"/>
                              <w:szCs w:val="16"/>
                            </w:rPr>
                          </w:pPr>
                          <w:r>
                            <w:rPr>
                              <w:rFonts w:cs="Arial"/>
                              <w:color w:val="6B656A"/>
                              <w:szCs w:val="16"/>
                            </w:rPr>
                            <w:t>To find out more about our work visit:</w:t>
                          </w:r>
                          <w:r>
                            <w:rPr>
                              <w:rFonts w:cs="Arial"/>
                              <w:color w:val="6B656A"/>
                              <w:szCs w:val="16"/>
                            </w:rPr>
                            <w:br/>
                          </w:r>
                          <w:hyperlink r:id="rId34" w:history="1">
                            <w:r>
                              <w:rPr>
                                <w:rStyle w:val="Hyperlink"/>
                                <w:szCs w:val="16"/>
                              </w:rPr>
                              <w:t>www.devinit.org</w:t>
                            </w:r>
                          </w:hyperlink>
                          <w:r>
                            <w:rPr>
                              <w:rFonts w:cs="Arial"/>
                              <w:color w:val="6B656A"/>
                              <w:szCs w:val="16"/>
                            </w:rPr>
                            <w:br/>
                            <w:t>Twitter: @</w:t>
                          </w:r>
                          <w:proofErr w:type="spellStart"/>
                          <w:r>
                            <w:rPr>
                              <w:rFonts w:cs="Arial"/>
                              <w:color w:val="6B656A"/>
                              <w:szCs w:val="16"/>
                            </w:rPr>
                            <w:t>devinitorg</w:t>
                          </w:r>
                          <w:proofErr w:type="spellEnd"/>
                          <w:r>
                            <w:rPr>
                              <w:rFonts w:cs="Arial"/>
                              <w:color w:val="6B656A"/>
                              <w:szCs w:val="16"/>
                            </w:rPr>
                            <w:br/>
                            <w:t xml:space="preserve">Email: </w:t>
                          </w:r>
                          <w:hyperlink r:id="rId35" w:history="1">
                            <w:r>
                              <w:rPr>
                                <w:rStyle w:val="Hyperlink"/>
                                <w:szCs w:val="16"/>
                              </w:rPr>
                              <w:t>info@devinit.org</w:t>
                            </w:r>
                          </w:hyperlink>
                        </w:p>
                        <w:p w14:paraId="1824DFC0" w14:textId="77777777" w:rsidR="0025301F" w:rsidRDefault="0025301F" w:rsidP="00236CCF">
                          <w:pPr>
                            <w:pStyle w:val="Backpagetext"/>
                            <w:rPr>
                              <w:rFonts w:cs="Arial"/>
                              <w:color w:val="6B656A"/>
                            </w:rPr>
                          </w:pPr>
                          <w:r>
                            <w:rPr>
                              <w:rFonts w:cs="Arial"/>
                              <w:color w:val="6B656A"/>
                            </w:rPr>
                            <w:t xml:space="preserve">Development Initiatives is the trading name of Development Initiatives Poverty Research Ltd, registered in England and Wales, Company No. 06368740, and DI International Ltd, registered in England and Wales, Company No. 5802543. Registered Office: First Floor Centre, The Quorum, Bond Street South, Bristol, BS1 3AE, UK  </w:t>
                          </w:r>
                        </w:p>
                        <w:p w14:paraId="59A88D62" w14:textId="77777777" w:rsidR="0025301F" w:rsidRDefault="0025301F" w:rsidP="00236CCF">
                          <w:pPr>
                            <w:pStyle w:val="Backpagetext"/>
                          </w:pPr>
                        </w:p>
                        <w:p w14:paraId="73E2F1EA" w14:textId="77777777" w:rsidR="0025301F" w:rsidRDefault="0025301F" w:rsidP="00101EC9">
                          <w:pPr>
                            <w:pStyle w:val="Backpagetext"/>
                          </w:pPr>
                        </w:p>
                      </w:txbxContent>
                    </v:textbox>
                    <w10:wrap type="square" anchorx="margin"/>
                  </v:shape>
                </w:pict>
              </mc:Fallback>
            </mc:AlternateContent>
          </w:r>
        </w:sdtContent>
      </w:sdt>
      <w:r w:rsidR="00394858">
        <w:rPr>
          <w:color w:val="auto"/>
          <w:sz w:val="22"/>
        </w:rPr>
        <w:tab/>
      </w:r>
    </w:p>
    <w:p w14:paraId="6807DE29" w14:textId="77777777" w:rsidR="00516E20" w:rsidRDefault="00000AEB">
      <w:r>
        <w:rPr>
          <w:noProof/>
          <w:lang w:eastAsia="en-GB"/>
        </w:rPr>
        <mc:AlternateContent>
          <mc:Choice Requires="wps">
            <w:drawing>
              <wp:anchor distT="0" distB="0" distL="114300" distR="114300" simplePos="0" relativeHeight="251658245" behindDoc="0" locked="0" layoutInCell="1" allowOverlap="1" wp14:anchorId="7AAE489D" wp14:editId="74D68AF7">
                <wp:simplePos x="0" y="0"/>
                <wp:positionH relativeFrom="margin">
                  <wp:posOffset>637540</wp:posOffset>
                </wp:positionH>
                <wp:positionV relativeFrom="paragraph">
                  <wp:posOffset>2902585</wp:posOffset>
                </wp:positionV>
                <wp:extent cx="5029200" cy="0"/>
                <wp:effectExtent l="0" t="0" r="0" b="0"/>
                <wp:wrapNone/>
                <wp:docPr id="1"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chemeClr val="bg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595FCE" id="Straight Connector 22" o:spid="_x0000_s1026"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50.2pt,228.55pt" to="446.2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" strokecolor="#453f43 [3214]">
                <w10:wrap anchorx="margin"/>
              </v:line>
            </w:pict>
          </mc:Fallback>
        </mc:AlternateContent>
      </w:r>
      <w:r w:rsidR="002014FE">
        <w:rPr>
          <w:noProof/>
          <w:sz w:val="16"/>
          <w:lang w:eastAsia="en-GB"/>
        </w:rPr>
        <mc:AlternateContent>
          <mc:Choice Requires="wps">
            <w:drawing>
              <wp:anchor distT="0" distB="0" distL="114300" distR="114300" simplePos="0" relativeHeight="251658246" behindDoc="0" locked="0" layoutInCell="1" allowOverlap="1" wp14:anchorId="18E50E9A" wp14:editId="2F968820">
                <wp:simplePos x="0" y="0"/>
                <wp:positionH relativeFrom="column">
                  <wp:posOffset>4183380</wp:posOffset>
                </wp:positionH>
                <wp:positionV relativeFrom="paragraph">
                  <wp:posOffset>3122930</wp:posOffset>
                </wp:positionV>
                <wp:extent cx="2063115" cy="4996180"/>
                <wp:effectExtent l="0" t="0" r="0" b="0"/>
                <wp:wrapSquare wrapText="bothSides"/>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4996180"/>
                        </a:xfrm>
                        <a:prstGeom prst="rect">
                          <a:avLst/>
                        </a:prstGeom>
                        <a:noFill/>
                        <a:ln>
                          <a:noFill/>
                        </a:ln>
                        <a:effectLst/>
                        <a:extLst>
                          <a:ext uri="{C572A759-6A51-4108-AA02-DFA0A04FC94B}"/>
                        </a:extLst>
                      </wps:spPr>
                      <wps:txbx>
                        <w:txbxContent>
                          <w:p w14:paraId="0305367B" w14:textId="77777777" w:rsidR="0025301F" w:rsidRPr="00554D59" w:rsidRDefault="0025301F" w:rsidP="00236CCF">
                            <w:pPr>
                              <w:pStyle w:val="Backpagetext"/>
                              <w:rPr>
                                <w:rFonts w:cs="Arial"/>
                                <w:b/>
                                <w:color w:val="6B656A"/>
                              </w:rPr>
                            </w:pPr>
                            <w:r>
                              <w:rPr>
                                <w:rFonts w:cs="Arial"/>
                                <w:b/>
                                <w:color w:val="6B656A"/>
                              </w:rPr>
                              <w:t>GLOBAL HUB</w:t>
                            </w:r>
                            <w:r w:rsidRPr="00554D59">
                              <w:rPr>
                                <w:rFonts w:cs="Arial"/>
                                <w:b/>
                                <w:color w:val="6B656A"/>
                              </w:rPr>
                              <w:br/>
                            </w:r>
                            <w:r w:rsidRPr="00554D59">
                              <w:rPr>
                                <w:rFonts w:cs="Arial"/>
                                <w:color w:val="6B656A"/>
                              </w:rPr>
                              <w:t>Development Initiatives</w:t>
                            </w:r>
                            <w:r w:rsidRPr="00554D59">
                              <w:rPr>
                                <w:rFonts w:cs="Arial"/>
                                <w:b/>
                                <w:color w:val="6B656A"/>
                              </w:rPr>
                              <w:br/>
                            </w:r>
                            <w:r w:rsidRPr="00D12FF6">
                              <w:rPr>
                                <w:rFonts w:cs="Arial"/>
                                <w:color w:val="6B656A"/>
                              </w:rPr>
                              <w:t>First Floor Centre, The Quorum</w:t>
                            </w:r>
                            <w:r w:rsidRPr="00554D59">
                              <w:rPr>
                                <w:rFonts w:cs="Arial"/>
                                <w:b/>
                                <w:color w:val="6B656A"/>
                              </w:rPr>
                              <w:t xml:space="preserve"> </w:t>
                            </w:r>
                            <w:r w:rsidRPr="00554D59">
                              <w:rPr>
                                <w:rFonts w:cs="Arial"/>
                                <w:b/>
                                <w:color w:val="6B656A"/>
                              </w:rPr>
                              <w:br/>
                            </w:r>
                            <w:r w:rsidRPr="00D12FF6">
                              <w:rPr>
                                <w:rFonts w:cs="Arial"/>
                                <w:color w:val="6B656A"/>
                              </w:rPr>
                              <w:t>Bond Street South, Bristol</w:t>
                            </w:r>
                            <w:r w:rsidRPr="00554D59">
                              <w:rPr>
                                <w:rFonts w:cs="Arial"/>
                                <w:b/>
                                <w:color w:val="6B656A"/>
                              </w:rPr>
                              <w:t xml:space="preserve"> </w:t>
                            </w:r>
                            <w:r w:rsidRPr="00554D59">
                              <w:rPr>
                                <w:rFonts w:cs="Arial"/>
                                <w:b/>
                                <w:color w:val="6B656A"/>
                              </w:rPr>
                              <w:br/>
                            </w:r>
                            <w:r w:rsidRPr="00D12FF6">
                              <w:rPr>
                                <w:rFonts w:cs="Arial"/>
                                <w:color w:val="6B656A"/>
                              </w:rPr>
                              <w:t>BS1 3AE</w:t>
                            </w:r>
                            <w:r w:rsidRPr="00554D59">
                              <w:rPr>
                                <w:rFonts w:cs="Arial"/>
                                <w:color w:val="6B656A"/>
                              </w:rPr>
                              <w:t>, UK</w:t>
                            </w:r>
                            <w:r w:rsidRPr="00554D59">
                              <w:rPr>
                                <w:rFonts w:cs="Arial"/>
                                <w:b/>
                                <w:color w:val="6B656A"/>
                              </w:rPr>
                              <w:br/>
                            </w:r>
                            <w:r w:rsidRPr="00554D59">
                              <w:rPr>
                                <w:rFonts w:cs="Arial"/>
                                <w:color w:val="6B656A"/>
                              </w:rPr>
                              <w:t>+44 (0) 1179 272 505</w:t>
                            </w:r>
                          </w:p>
                          <w:p w14:paraId="7A07B4D8" w14:textId="77777777" w:rsidR="0025301F" w:rsidRPr="00554D59" w:rsidRDefault="0025301F" w:rsidP="00236CCF">
                            <w:pPr>
                              <w:pStyle w:val="Backpagetext"/>
                              <w:rPr>
                                <w:rFonts w:cs="Arial"/>
                                <w:b/>
                                <w:color w:val="6B656A"/>
                              </w:rPr>
                            </w:pPr>
                            <w:r>
                              <w:rPr>
                                <w:rFonts w:cs="Arial"/>
                                <w:b/>
                                <w:color w:val="6B656A"/>
                              </w:rPr>
                              <w:t>EAST AFRICA</w:t>
                            </w:r>
                            <w:r w:rsidRPr="00554D59">
                              <w:rPr>
                                <w:rFonts w:cs="Arial"/>
                                <w:b/>
                                <w:color w:val="6B656A"/>
                              </w:rPr>
                              <w:t xml:space="preserve"> </w:t>
                            </w:r>
                            <w:r>
                              <w:rPr>
                                <w:rFonts w:cs="Arial"/>
                                <w:b/>
                                <w:color w:val="6B656A"/>
                              </w:rPr>
                              <w:t>HUB</w:t>
                            </w:r>
                            <w:r w:rsidRPr="00554D59">
                              <w:rPr>
                                <w:rFonts w:cs="Arial"/>
                                <w:b/>
                                <w:color w:val="6B656A"/>
                              </w:rPr>
                              <w:br/>
                            </w:r>
                            <w:r w:rsidRPr="00554D59">
                              <w:rPr>
                                <w:rFonts w:cs="Arial"/>
                                <w:color w:val="6B656A"/>
                              </w:rPr>
                              <w:t>Development Initiatives</w:t>
                            </w:r>
                            <w:r w:rsidRPr="00554D59">
                              <w:rPr>
                                <w:rFonts w:cs="Arial"/>
                                <w:b/>
                                <w:color w:val="6B656A"/>
                              </w:rPr>
                              <w:br/>
                            </w:r>
                            <w:r w:rsidRPr="00554D59">
                              <w:rPr>
                                <w:rFonts w:cs="Arial"/>
                                <w:color w:val="6B656A"/>
                              </w:rPr>
                              <w:t>Shelter Afrique Building</w:t>
                            </w:r>
                            <w:r w:rsidRPr="00554D59">
                              <w:rPr>
                                <w:rFonts w:cs="Arial"/>
                                <w:b/>
                                <w:color w:val="6B656A"/>
                              </w:rPr>
                              <w:br/>
                            </w:r>
                            <w:r w:rsidRPr="00554D59">
                              <w:rPr>
                                <w:rFonts w:cs="Arial"/>
                                <w:color w:val="6B656A"/>
                              </w:rPr>
                              <w:t>4th Floor, Mamlaka Road</w:t>
                            </w:r>
                            <w:r w:rsidRPr="00554D59">
                              <w:rPr>
                                <w:rFonts w:cs="Arial"/>
                                <w:b/>
                                <w:color w:val="6B656A"/>
                              </w:rPr>
                              <w:br/>
                            </w:r>
                            <w:r w:rsidRPr="00554D59">
                              <w:rPr>
                                <w:rFonts w:cs="Arial"/>
                                <w:color w:val="6B656A"/>
                              </w:rPr>
                              <w:t>Nairobi, Kenya</w:t>
                            </w:r>
                            <w:r w:rsidRPr="00554D59">
                              <w:rPr>
                                <w:rFonts w:cs="Arial"/>
                                <w:b/>
                                <w:color w:val="6B656A"/>
                              </w:rPr>
                              <w:br/>
                            </w:r>
                            <w:r w:rsidRPr="00554D59">
                              <w:rPr>
                                <w:rFonts w:cs="Arial"/>
                                <w:color w:val="6B656A"/>
                              </w:rPr>
                              <w:t>PO Box 102802-00101</w:t>
                            </w:r>
                            <w:r w:rsidRPr="00554D59">
                              <w:rPr>
                                <w:rFonts w:cs="Arial"/>
                                <w:b/>
                                <w:color w:val="6B656A"/>
                              </w:rPr>
                              <w:br/>
                            </w:r>
                            <w:r w:rsidRPr="00554D59">
                              <w:rPr>
                                <w:rFonts w:cs="Arial"/>
                                <w:color w:val="6B656A"/>
                              </w:rPr>
                              <w:t>+254 (0) 20 272 5346</w:t>
                            </w:r>
                          </w:p>
                          <w:p w14:paraId="14B1AA1A" w14:textId="77777777" w:rsidR="0025301F" w:rsidRDefault="0025301F" w:rsidP="00236CCF">
                            <w:pPr>
                              <w:pStyle w:val="Backpagetext"/>
                              <w:rPr>
                                <w:rFonts w:cs="Arial"/>
                                <w:color w:val="6B656A"/>
                              </w:rPr>
                            </w:pPr>
                            <w:r>
                              <w:rPr>
                                <w:rFonts w:cs="Arial"/>
                                <w:b/>
                                <w:color w:val="6B656A"/>
                              </w:rPr>
                              <w:t>AMERICAS HUB</w:t>
                            </w:r>
                            <w:r w:rsidRPr="00554D59">
                              <w:rPr>
                                <w:rFonts w:cs="Arial"/>
                                <w:color w:val="6B656A"/>
                              </w:rPr>
                              <w:br/>
                              <w:t>Development Initiatives</w:t>
                            </w:r>
                            <w:r w:rsidRPr="00554D59">
                              <w:rPr>
                                <w:rFonts w:cs="Arial"/>
                                <w:color w:val="6B656A"/>
                              </w:rPr>
                              <w:br/>
                            </w:r>
                            <w:r w:rsidRPr="0005795A">
                              <w:rPr>
                                <w:rFonts w:cs="Arial"/>
                                <w:color w:val="6B656A"/>
                              </w:rPr>
                              <w:t>1100 13th Street, NW, Suite 800, Washington DC 20005</w:t>
                            </w:r>
                            <w:r>
                              <w:rPr>
                                <w:rFonts w:cs="Arial"/>
                                <w:color w:val="6B656A"/>
                              </w:rPr>
                              <w:t>, US</w:t>
                            </w:r>
                          </w:p>
                          <w:p w14:paraId="7ED75393" w14:textId="77777777" w:rsidR="0025301F" w:rsidRDefault="0025301F" w:rsidP="00236CCF"/>
                          <w:p w14:paraId="25AE2E15" w14:textId="77777777" w:rsidR="0025301F" w:rsidRPr="0005795A" w:rsidRDefault="0025301F" w:rsidP="00236CCF"/>
                          <w:p w14:paraId="6FD5322F" w14:textId="680AD7C9" w:rsidR="0025301F" w:rsidRPr="00554D59" w:rsidRDefault="0025301F" w:rsidP="00584375">
                            <w:pPr>
                              <w:pStyle w:val="Backpagetext"/>
                              <w:rPr>
                                <w:rFonts w:cs="Arial"/>
                                <w:color w:val="6B656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50E9A" id="Text Box 18" o:spid="_x0000_s1028" type="#_x0000_t202" style="position:absolute;margin-left:329.4pt;margin-top:245.9pt;width:162.45pt;height:393.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" filled="f" stroked="f">
                <v:textbox>
                  <w:txbxContent>
                    <w:p w14:paraId="0305367B" w14:textId="77777777" w:rsidR="0025301F" w:rsidRPr="00554D59" w:rsidRDefault="0025301F" w:rsidP="00236CCF">
                      <w:pPr>
                        <w:pStyle w:val="Backpagetext"/>
                        <w:rPr>
                          <w:rFonts w:cs="Arial"/>
                          <w:b/>
                          <w:color w:val="6B656A"/>
                        </w:rPr>
                      </w:pPr>
                      <w:r>
                        <w:rPr>
                          <w:rFonts w:cs="Arial"/>
                          <w:b/>
                          <w:color w:val="6B656A"/>
                        </w:rPr>
                        <w:t>GLOBAL HUB</w:t>
                      </w:r>
                      <w:r w:rsidRPr="00554D59">
                        <w:rPr>
                          <w:rFonts w:cs="Arial"/>
                          <w:b/>
                          <w:color w:val="6B656A"/>
                        </w:rPr>
                        <w:br/>
                      </w:r>
                      <w:r w:rsidRPr="00554D59">
                        <w:rPr>
                          <w:rFonts w:cs="Arial"/>
                          <w:color w:val="6B656A"/>
                        </w:rPr>
                        <w:t>Development Initiatives</w:t>
                      </w:r>
                      <w:r w:rsidRPr="00554D59">
                        <w:rPr>
                          <w:rFonts w:cs="Arial"/>
                          <w:b/>
                          <w:color w:val="6B656A"/>
                        </w:rPr>
                        <w:br/>
                      </w:r>
                      <w:r w:rsidRPr="00D12FF6">
                        <w:rPr>
                          <w:rFonts w:cs="Arial"/>
                          <w:color w:val="6B656A"/>
                        </w:rPr>
                        <w:t>First Floor Centre, The Quorum</w:t>
                      </w:r>
                      <w:r w:rsidRPr="00554D59">
                        <w:rPr>
                          <w:rFonts w:cs="Arial"/>
                          <w:b/>
                          <w:color w:val="6B656A"/>
                        </w:rPr>
                        <w:t xml:space="preserve"> </w:t>
                      </w:r>
                      <w:r w:rsidRPr="00554D59">
                        <w:rPr>
                          <w:rFonts w:cs="Arial"/>
                          <w:b/>
                          <w:color w:val="6B656A"/>
                        </w:rPr>
                        <w:br/>
                      </w:r>
                      <w:r w:rsidRPr="00D12FF6">
                        <w:rPr>
                          <w:rFonts w:cs="Arial"/>
                          <w:color w:val="6B656A"/>
                        </w:rPr>
                        <w:t>Bond Street South, Bristol</w:t>
                      </w:r>
                      <w:r w:rsidRPr="00554D59">
                        <w:rPr>
                          <w:rFonts w:cs="Arial"/>
                          <w:b/>
                          <w:color w:val="6B656A"/>
                        </w:rPr>
                        <w:t xml:space="preserve"> </w:t>
                      </w:r>
                      <w:r w:rsidRPr="00554D59">
                        <w:rPr>
                          <w:rFonts w:cs="Arial"/>
                          <w:b/>
                          <w:color w:val="6B656A"/>
                        </w:rPr>
                        <w:br/>
                      </w:r>
                      <w:r w:rsidRPr="00D12FF6">
                        <w:rPr>
                          <w:rFonts w:cs="Arial"/>
                          <w:color w:val="6B656A"/>
                        </w:rPr>
                        <w:t>BS1 3AE</w:t>
                      </w:r>
                      <w:r w:rsidRPr="00554D59">
                        <w:rPr>
                          <w:rFonts w:cs="Arial"/>
                          <w:color w:val="6B656A"/>
                        </w:rPr>
                        <w:t>, UK</w:t>
                      </w:r>
                      <w:r w:rsidRPr="00554D59">
                        <w:rPr>
                          <w:rFonts w:cs="Arial"/>
                          <w:b/>
                          <w:color w:val="6B656A"/>
                        </w:rPr>
                        <w:br/>
                      </w:r>
                      <w:r w:rsidRPr="00554D59">
                        <w:rPr>
                          <w:rFonts w:cs="Arial"/>
                          <w:color w:val="6B656A"/>
                        </w:rPr>
                        <w:t>+44 (0) 1179 272 505</w:t>
                      </w:r>
                    </w:p>
                    <w:p w14:paraId="7A07B4D8" w14:textId="77777777" w:rsidR="0025301F" w:rsidRPr="00554D59" w:rsidRDefault="0025301F" w:rsidP="00236CCF">
                      <w:pPr>
                        <w:pStyle w:val="Backpagetext"/>
                        <w:rPr>
                          <w:rFonts w:cs="Arial"/>
                          <w:b/>
                          <w:color w:val="6B656A"/>
                        </w:rPr>
                      </w:pPr>
                      <w:r>
                        <w:rPr>
                          <w:rFonts w:cs="Arial"/>
                          <w:b/>
                          <w:color w:val="6B656A"/>
                        </w:rPr>
                        <w:t>EAST AFRICA</w:t>
                      </w:r>
                      <w:r w:rsidRPr="00554D59">
                        <w:rPr>
                          <w:rFonts w:cs="Arial"/>
                          <w:b/>
                          <w:color w:val="6B656A"/>
                        </w:rPr>
                        <w:t xml:space="preserve"> </w:t>
                      </w:r>
                      <w:r>
                        <w:rPr>
                          <w:rFonts w:cs="Arial"/>
                          <w:b/>
                          <w:color w:val="6B656A"/>
                        </w:rPr>
                        <w:t>HUB</w:t>
                      </w:r>
                      <w:r w:rsidRPr="00554D59">
                        <w:rPr>
                          <w:rFonts w:cs="Arial"/>
                          <w:b/>
                          <w:color w:val="6B656A"/>
                        </w:rPr>
                        <w:br/>
                      </w:r>
                      <w:r w:rsidRPr="00554D59">
                        <w:rPr>
                          <w:rFonts w:cs="Arial"/>
                          <w:color w:val="6B656A"/>
                        </w:rPr>
                        <w:t>Development Initiatives</w:t>
                      </w:r>
                      <w:r w:rsidRPr="00554D59">
                        <w:rPr>
                          <w:rFonts w:cs="Arial"/>
                          <w:b/>
                          <w:color w:val="6B656A"/>
                        </w:rPr>
                        <w:br/>
                      </w:r>
                      <w:r w:rsidRPr="00554D59">
                        <w:rPr>
                          <w:rFonts w:cs="Arial"/>
                          <w:color w:val="6B656A"/>
                        </w:rPr>
                        <w:t>Shelter Afrique Building</w:t>
                      </w:r>
                      <w:r w:rsidRPr="00554D59">
                        <w:rPr>
                          <w:rFonts w:cs="Arial"/>
                          <w:b/>
                          <w:color w:val="6B656A"/>
                        </w:rPr>
                        <w:br/>
                      </w:r>
                      <w:r w:rsidRPr="00554D59">
                        <w:rPr>
                          <w:rFonts w:cs="Arial"/>
                          <w:color w:val="6B656A"/>
                        </w:rPr>
                        <w:t xml:space="preserve">4th Floor, </w:t>
                      </w:r>
                      <w:proofErr w:type="spellStart"/>
                      <w:r w:rsidRPr="00554D59">
                        <w:rPr>
                          <w:rFonts w:cs="Arial"/>
                          <w:color w:val="6B656A"/>
                        </w:rPr>
                        <w:t>Mamlaka</w:t>
                      </w:r>
                      <w:proofErr w:type="spellEnd"/>
                      <w:r w:rsidRPr="00554D59">
                        <w:rPr>
                          <w:rFonts w:cs="Arial"/>
                          <w:color w:val="6B656A"/>
                        </w:rPr>
                        <w:t xml:space="preserve"> Road</w:t>
                      </w:r>
                      <w:r w:rsidRPr="00554D59">
                        <w:rPr>
                          <w:rFonts w:cs="Arial"/>
                          <w:b/>
                          <w:color w:val="6B656A"/>
                        </w:rPr>
                        <w:br/>
                      </w:r>
                      <w:r w:rsidRPr="00554D59">
                        <w:rPr>
                          <w:rFonts w:cs="Arial"/>
                          <w:color w:val="6B656A"/>
                        </w:rPr>
                        <w:t>Nairobi, Kenya</w:t>
                      </w:r>
                      <w:r w:rsidRPr="00554D59">
                        <w:rPr>
                          <w:rFonts w:cs="Arial"/>
                          <w:b/>
                          <w:color w:val="6B656A"/>
                        </w:rPr>
                        <w:br/>
                      </w:r>
                      <w:r w:rsidRPr="00554D59">
                        <w:rPr>
                          <w:rFonts w:cs="Arial"/>
                          <w:color w:val="6B656A"/>
                        </w:rPr>
                        <w:t>PO Box 102802-00101</w:t>
                      </w:r>
                      <w:r w:rsidRPr="00554D59">
                        <w:rPr>
                          <w:rFonts w:cs="Arial"/>
                          <w:b/>
                          <w:color w:val="6B656A"/>
                        </w:rPr>
                        <w:br/>
                      </w:r>
                      <w:r w:rsidRPr="00554D59">
                        <w:rPr>
                          <w:rFonts w:cs="Arial"/>
                          <w:color w:val="6B656A"/>
                        </w:rPr>
                        <w:t>+254 (0) 20 272 5346</w:t>
                      </w:r>
                    </w:p>
                    <w:p w14:paraId="14B1AA1A" w14:textId="77777777" w:rsidR="0025301F" w:rsidRDefault="0025301F" w:rsidP="00236CCF">
                      <w:pPr>
                        <w:pStyle w:val="Backpagetext"/>
                        <w:rPr>
                          <w:rFonts w:cs="Arial"/>
                          <w:color w:val="6B656A"/>
                        </w:rPr>
                      </w:pPr>
                      <w:r>
                        <w:rPr>
                          <w:rFonts w:cs="Arial"/>
                          <w:b/>
                          <w:color w:val="6B656A"/>
                        </w:rPr>
                        <w:t>AMERICAS HUB</w:t>
                      </w:r>
                      <w:r w:rsidRPr="00554D59">
                        <w:rPr>
                          <w:rFonts w:cs="Arial"/>
                          <w:color w:val="6B656A"/>
                        </w:rPr>
                        <w:br/>
                        <w:t>Development Initiatives</w:t>
                      </w:r>
                      <w:r w:rsidRPr="00554D59">
                        <w:rPr>
                          <w:rFonts w:cs="Arial"/>
                          <w:color w:val="6B656A"/>
                        </w:rPr>
                        <w:br/>
                      </w:r>
                      <w:r w:rsidRPr="0005795A">
                        <w:rPr>
                          <w:rFonts w:cs="Arial"/>
                          <w:color w:val="6B656A"/>
                        </w:rPr>
                        <w:t>1100 13th Street, NW, Suite 800, Washington DC 20005</w:t>
                      </w:r>
                      <w:r>
                        <w:rPr>
                          <w:rFonts w:cs="Arial"/>
                          <w:color w:val="6B656A"/>
                        </w:rPr>
                        <w:t>, US</w:t>
                      </w:r>
                    </w:p>
                    <w:p w14:paraId="7ED75393" w14:textId="77777777" w:rsidR="0025301F" w:rsidRDefault="0025301F" w:rsidP="00236CCF"/>
                    <w:p w14:paraId="25AE2E15" w14:textId="77777777" w:rsidR="0025301F" w:rsidRPr="0005795A" w:rsidRDefault="0025301F" w:rsidP="00236CCF"/>
                    <w:p w14:paraId="6FD5322F" w14:textId="680AD7C9" w:rsidR="0025301F" w:rsidRPr="00554D59" w:rsidRDefault="0025301F" w:rsidP="00584375">
                      <w:pPr>
                        <w:pStyle w:val="Backpagetext"/>
                        <w:rPr>
                          <w:rFonts w:cs="Arial"/>
                          <w:color w:val="6B656A"/>
                        </w:rPr>
                      </w:pPr>
                    </w:p>
                  </w:txbxContent>
                </v:textbox>
                <w10:wrap type="square"/>
              </v:shape>
            </w:pict>
          </mc:Fallback>
        </mc:AlternateContent>
      </w:r>
    </w:p>
    <w:sectPr w:rsidR="00516E20" w:rsidSect="00516E20">
      <w:headerReference w:type="first" r:id="rId36"/>
      <w:endnotePr>
        <w:numFmt w:val="decimal"/>
      </w:endnotePr>
      <w:pgSz w:w="11906" w:h="16838" w:code="9"/>
      <w:pgMar w:top="1440" w:right="1440"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5C37" w16cex:dateUtc="2022-02-08T21:16:00Z"/>
  <w16cex:commentExtensible w16cex:durableId="25AD65D2" w16cex:dateUtc="2022-02-08T21:57:00Z"/>
  <w16cex:commentExtensible w16cex:durableId="25AD5504" w16cex:dateUtc="2022-02-08T20:45:00Z"/>
  <w16cex:commentExtensible w16cex:durableId="25AD587D" w16cex:dateUtc="2022-02-08T21:00:00Z"/>
  <w16cex:commentExtensible w16cex:durableId="259CEB66" w16cex:dateUtc="2022-01-27T09:59:00Z"/>
  <w16cex:commentExtensible w16cex:durableId="25A7C43C" w16cex:dateUtc="2022-02-04T15:26:00Z"/>
  <w16cex:commentExtensible w16cex:durableId="25A7C645" w16cex:dateUtc="2022-02-04T15:35:00Z"/>
  <w16cex:commentExtensible w16cex:durableId="25B754AB" w16cex:dateUtc="2022-02-16T10:47:00Z"/>
  <w16cex:commentExtensible w16cex:durableId="25A7C45E" w16cex:dateUtc="2022-02-04T15:26:00Z"/>
  <w16cex:commentExtensible w16cex:durableId="25B75576" w16cex:dateUtc="2022-02-16T10:50:00Z"/>
  <w16cex:commentExtensible w16cex:durableId="25A7C887" w16cex:dateUtc="2022-02-04T15:45:00Z"/>
  <w16cex:commentExtensible w16cex:durableId="25B4BC17" w16cex:dateUtc="2022-02-14T11:31:00Z"/>
  <w16cex:commentExtensible w16cex:durableId="25B4BC6A" w16cex:dateUtc="2022-02-14T11:32:00Z"/>
  <w16cex:commentExtensible w16cex:durableId="25BF2B36" w16cex:dateUtc="2022-02-22T09:28:00Z"/>
  <w16cex:commentExtensible w16cex:durableId="25B75640" w16cex:dateUtc="2022-02-16T10:53:00Z"/>
  <w16cex:commentExtensible w16cex:durableId="25B7564B" w16cex:dateUtc="2022-02-16T10:54:00Z"/>
  <w16cex:commentExtensible w16cex:durableId="25B75654" w16cex:dateUtc="2022-02-16T10:54:00Z"/>
  <w16cex:commentExtensible w16cex:durableId="25A7CA5A" w16cex:dateUtc="2022-02-04T15:52:00Z"/>
  <w16cex:commentExtensible w16cex:durableId="25A7CA9B" w16cex:dateUtc="2022-02-04T15:54:00Z"/>
  <w16cex:commentExtensible w16cex:durableId="25B75816" w16cex:dateUtc="2022-02-16T11:01:00Z"/>
  <w16cex:commentExtensible w16cex:durableId="25A7CB43" w16cex:dateUtc="2022-02-04T15:56:00Z"/>
  <w16cex:commentExtensible w16cex:durableId="25B75839" w16cex:dateUtc="2022-02-16T11:02:00Z"/>
  <w16cex:commentExtensible w16cex:durableId="25A7CD38" w16cex:dateUtc="2022-02-04T16:05:00Z"/>
  <w16cex:commentExtensible w16cex:durableId="25B4BEFD" w16cex:dateUtc="2022-02-14T11:43:00Z"/>
  <w16cex:commentExtensible w16cex:durableId="25B75857" w16cex:dateUtc="2022-02-16T11:02:00Z"/>
  <w16cex:commentExtensible w16cex:durableId="25B758D0" w16cex:dateUtc="2022-02-16T11:04:00Z"/>
  <w16cex:commentExtensible w16cex:durableId="25A7CEF4" w16cex:dateUtc="2022-02-04T16:12:00Z"/>
  <w16cex:commentExtensible w16cex:durableId="25B7591B" w16cex:dateUtc="2022-02-16T11:06:00Z"/>
  <w16cex:commentExtensible w16cex:durableId="25A9591A" w16cex:dateUtc="2022-02-05T20:14:00Z"/>
  <w16cex:commentExtensible w16cex:durableId="25A962A8" w16cex:dateUtc="2022-02-05T20:55:00Z"/>
  <w16cex:commentExtensible w16cex:durableId="25B75970" w16cex:dateUtc="2022-02-16T11:07:00Z"/>
  <w16cex:commentExtensible w16cex:durableId="25A951DD" w16cex:dateUtc="2022-02-05T19:43:00Z"/>
  <w16cex:commentExtensible w16cex:durableId="25B4C1E9" w16cex:dateUtc="2022-02-14T11:56:00Z"/>
  <w16cex:commentExtensible w16cex:durableId="25B75990" w16cex:dateUtc="2022-02-16T11:08:00Z"/>
  <w16cex:commentExtensible w16cex:durableId="25A7D2A3" w16cex:dateUtc="2022-02-04T16:28:00Z"/>
  <w16cex:commentExtensible w16cex:durableId="25B759CE" w16cex:dateUtc="2022-02-16T11:09:00Z"/>
  <w16cex:commentExtensible w16cex:durableId="25B759D9" w16cex:dateUtc="2022-02-16T11:09:00Z"/>
  <w16cex:commentExtensible w16cex:durableId="25B759EC" w16cex:dateUtc="2022-02-16T11:09:00Z"/>
  <w16cex:commentExtensible w16cex:durableId="25A7D4A5" w16cex:dateUtc="2022-02-04T16:36:00Z"/>
  <w16cex:commentExtensible w16cex:durableId="25AD63A1" w16cex:dateUtc="2022-02-08T21:48:00Z"/>
  <w16cex:commentExtensible w16cex:durableId="25B75A2C" w16cex:dateUtc="2022-02-16T11:10:00Z"/>
  <w16cex:commentExtensible w16cex:durableId="25A7D5E1" w16cex:dateUtc="2022-02-04T16:42:00Z"/>
  <w16cex:commentExtensible w16cex:durableId="25A7D66F" w16cex:dateUtc="2022-02-04T16:44:00Z"/>
  <w16cex:commentExtensible w16cex:durableId="25B4C3ED" w16cex:dateUtc="2022-02-14T12:05:00Z"/>
  <w16cex:commentExtensible w16cex:durableId="25A95A6A" w16cex:dateUtc="2022-02-05T20:19:00Z"/>
  <w16cex:commentExtensible w16cex:durableId="25AD26C8" w16cex:dateUtc="2022-02-08T17:28:00Z"/>
  <w16cex:commentExtensible w16cex:durableId="25A7D7A3" w16cex:dateUtc="2022-02-04T16:49:00Z"/>
  <w16cex:commentExtensible w16cex:durableId="25B4C4F6" w16cex:dateUtc="2022-02-14T12:09:00Z"/>
  <w16cex:commentExtensible w16cex:durableId="25B75C33" w16cex:dateUtc="2022-02-16T11:19:00Z"/>
  <w16cex:commentExtensible w16cex:durableId="25A95985" w16cex:dateUtc="2022-02-05T20:16:00Z"/>
  <w16cex:commentExtensible w16cex:durableId="25AD26FD" w16cex:dateUtc="2022-02-08T17:29:00Z"/>
  <w16cex:commentExtensible w16cex:durableId="25B4C4A7" w16cex:dateUtc="2022-02-14T12:08:00Z"/>
  <w16cex:commentExtensible w16cex:durableId="259568B2" w16cex:dateUtc="2022-01-21T17:15:00Z"/>
  <w16cex:commentExtensible w16cex:durableId="25B4C491" w16cex:dateUtc="2022-02-14T12:07:00Z"/>
  <w16cex:commentExtensible w16cex:durableId="25B4C4D4" w16cex:dateUtc="2022-02-14T12:08:00Z"/>
  <w16cex:commentExtensible w16cex:durableId="25A7DA5E" w16cex:dateUtc="2022-02-04T17:01:00Z"/>
  <w16cex:commentExtensible w16cex:durableId="25B75C58" w16cex:dateUtc="2022-02-16T11:19:00Z"/>
  <w16cex:commentExtensible w16cex:durableId="25A96616" w16cex:dateUtc="2022-02-05T21:09:00Z"/>
  <w16cex:commentExtensible w16cex:durableId="25AD5496" w16cex:dateUtc="2022-02-08T20:44:00Z"/>
  <w16cex:commentExtensible w16cex:durableId="25AD2925" w16cex:dateUtc="2022-02-08T17:38:00Z"/>
  <w16cex:commentExtensible w16cex:durableId="25A96671" w16cex:dateUtc="2022-02-05T21:11:00Z"/>
  <w16cex:commentExtensible w16cex:durableId="25AD5489" w16cex:dateUtc="2022-02-08T20:43:00Z"/>
  <w16cex:commentExtensible w16cex:durableId="25A7DCA8" w16cex:dateUtc="2022-02-04T17:11:00Z"/>
  <w16cex:commentExtensible w16cex:durableId="25B4C617" w16cex:dateUtc="2022-02-14T12:14:00Z"/>
  <w16cex:commentExtensible w16cex:durableId="2595698D" w16cex:dateUtc="2022-01-21T17:19:00Z"/>
  <w16cex:commentExtensible w16cex:durableId="25A7DE90" w16cex:dateUtc="2022-02-04T17:19:00Z"/>
  <w16cex:commentExtensible w16cex:durableId="25B4C692" w16cex:dateUtc="2022-02-14T12:16:00Z"/>
  <w16cex:commentExtensible w16cex:durableId="25A94B48" w16cex:dateUtc="2022-02-05T19:15:00Z"/>
  <w16cex:commentExtensible w16cex:durableId="25AD5545" w16cex:dateUtc="2022-02-08T20:47:00Z"/>
  <w16cex:commentExtensible w16cex:durableId="25B4C706" w16cex:dateUtc="2022-02-14T12: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DCB1C" w14:textId="77777777" w:rsidR="0025301F" w:rsidRDefault="0025301F" w:rsidP="00584375">
      <w:pPr>
        <w:spacing w:before="0" w:line="240" w:lineRule="auto"/>
      </w:pPr>
      <w:r>
        <w:separator/>
      </w:r>
    </w:p>
  </w:endnote>
  <w:endnote w:type="continuationSeparator" w:id="0">
    <w:p w14:paraId="4346F862" w14:textId="77777777" w:rsidR="0025301F" w:rsidRDefault="0025301F" w:rsidP="00584375">
      <w:pPr>
        <w:spacing w:before="0" w:line="240" w:lineRule="auto"/>
      </w:pPr>
      <w:r>
        <w:continuationSeparator/>
      </w:r>
    </w:p>
  </w:endnote>
  <w:endnote w:type="continuationNotice" w:id="1">
    <w:p w14:paraId="47991C81" w14:textId="77777777" w:rsidR="0025301F" w:rsidRDefault="0025301F">
      <w:pPr>
        <w:spacing w:before="0" w:line="240" w:lineRule="auto"/>
      </w:pPr>
    </w:p>
  </w:endnote>
  <w:endnote w:id="2">
    <w:p w14:paraId="698D3AE3" w14:textId="2F1146E4" w:rsidR="0025301F" w:rsidRPr="00541D83" w:rsidRDefault="0025301F" w:rsidP="00BB033F">
      <w:pPr>
        <w:pStyle w:val="EndnoteText"/>
      </w:pPr>
      <w:r>
        <w:rPr>
          <w:rStyle w:val="EndnoteReference"/>
        </w:rPr>
        <w:endnoteRef/>
      </w:r>
      <w:r w:rsidRPr="00E02075">
        <w:rPr>
          <w:lang w:val="en-GB"/>
        </w:rPr>
        <w:t xml:space="preserve"> Development Initiatives, 2021. The data side of leaving no one behind: Lessons from landscaping. </w:t>
      </w:r>
      <w:hyperlink r:id="rId1" w:anchor="downloads" w:history="1">
        <w:r w:rsidRPr="00BB033F">
          <w:rPr>
            <w:rStyle w:val="Hyperlink"/>
            <w:color w:val="453F43" w:themeColor="background2"/>
          </w:rPr>
          <w:t>https://www.devinit.org/resources/data-side-leaving-no-one-behind/</w:t>
        </w:r>
      </w:hyperlink>
      <w:r w:rsidRPr="00C05F91">
        <w:rPr>
          <w:rStyle w:val="Hyperlink"/>
        </w:rPr>
        <w:t> </w:t>
      </w:r>
    </w:p>
  </w:endnote>
  <w:endnote w:id="3">
    <w:p w14:paraId="412149CA" w14:textId="3F0DBED5" w:rsidR="0025301F" w:rsidRDefault="0025301F" w:rsidP="00BB033F">
      <w:pPr>
        <w:pStyle w:val="EndnoteText"/>
      </w:pPr>
      <w:r>
        <w:rPr>
          <w:rStyle w:val="EndnoteReference"/>
        </w:rPr>
        <w:endnoteRef/>
      </w:r>
      <w:r w:rsidRPr="00E02075">
        <w:rPr>
          <w:lang w:val="en-GB"/>
        </w:rPr>
        <w:t xml:space="preserve">  Development Initiatives, 2021. The data side of leaving no one behind: Lessons from landscaping. </w:t>
      </w:r>
      <w:hyperlink r:id="rId2" w:anchor="downloads" w:history="1">
        <w:r w:rsidRPr="00BB033F">
          <w:rPr>
            <w:rStyle w:val="Hyperlink"/>
            <w:color w:val="453F43" w:themeColor="background2"/>
          </w:rPr>
          <w:t>https://www.devinit.org/resources/data-side-leaving-no-one-behind/</w:t>
        </w:r>
      </w:hyperlink>
    </w:p>
  </w:endnote>
  <w:endnote w:id="4">
    <w:p w14:paraId="13E80825" w14:textId="2FF5D6D6" w:rsidR="0025301F" w:rsidRPr="00E02075" w:rsidRDefault="0025301F" w:rsidP="00BB033F">
      <w:pPr>
        <w:pStyle w:val="EndnoteText"/>
        <w:rPr>
          <w:rStyle w:val="Hyperlink"/>
          <w:lang w:val="en-GB"/>
        </w:rPr>
      </w:pPr>
      <w:r>
        <w:rPr>
          <w:rStyle w:val="EndnoteReference"/>
        </w:rPr>
        <w:endnoteRef/>
      </w:r>
      <w:r w:rsidRPr="00E02075">
        <w:rPr>
          <w:lang w:val="en-GB"/>
        </w:rPr>
        <w:t xml:space="preserve"> Global Partnership for Sustainable Development Data, 2018. Making the case: More and Better Financing for Development Data. Available at:</w:t>
      </w:r>
      <w:r w:rsidRPr="00E02075">
        <w:rPr>
          <w:color w:val="000000"/>
          <w:lang w:val="en-GB"/>
        </w:rPr>
        <w:t xml:space="preserve"> </w:t>
      </w:r>
      <w:hyperlink r:id="rId3" w:history="1">
        <w:r w:rsidRPr="00E02075">
          <w:rPr>
            <w:rStyle w:val="Hyperlink"/>
            <w:color w:val="453F43" w:themeColor="background2"/>
            <w:lang w:val="en-GB"/>
          </w:rPr>
          <w:t>https://www.data4sdgs.org/sites/default/files/2018-03/Financing%20for%20Development%20Data%20Pamphlet%20FINAL_27Mar.pdf</w:t>
        </w:r>
      </w:hyperlink>
    </w:p>
  </w:endnote>
  <w:endnote w:id="5">
    <w:p w14:paraId="3AD992D7" w14:textId="33A27043" w:rsidR="0025301F" w:rsidRPr="00E02075" w:rsidRDefault="0025301F" w:rsidP="00BB033F">
      <w:pPr>
        <w:pStyle w:val="EndnoteText"/>
        <w:rPr>
          <w:lang w:val="en-GB"/>
        </w:rPr>
      </w:pPr>
      <w:r w:rsidRPr="00CD3743">
        <w:endnoteRef/>
      </w:r>
      <w:r w:rsidRPr="00E02075">
        <w:rPr>
          <w:vertAlign w:val="superscript"/>
          <w:lang w:val="en-GB"/>
        </w:rPr>
        <w:t xml:space="preserve"> </w:t>
      </w:r>
      <w:r w:rsidRPr="00E02075">
        <w:rPr>
          <w:lang w:val="en-GB"/>
        </w:rPr>
        <w:t xml:space="preserve">PARIS21, 2021. Partner Report on Support to Statistics (PRESS) 2020: Under COVID-19, worrying stagnation in funding despite growing data demand. Available at: </w:t>
      </w:r>
      <w:hyperlink r:id="rId4" w:history="1">
        <w:r w:rsidRPr="00E02075">
          <w:rPr>
            <w:rStyle w:val="Hyperlink"/>
            <w:color w:val="453F43" w:themeColor="background2"/>
            <w:lang w:val="en-GB"/>
          </w:rPr>
          <w:t>https://paris21.org/news-center/news/press2020-under-covid-19-worrying-stagnation-funding-despite-growing-data-demand</w:t>
        </w:r>
      </w:hyperlink>
    </w:p>
  </w:endnote>
  <w:endnote w:id="6">
    <w:p w14:paraId="027C5C1C" w14:textId="33703C10" w:rsidR="0025301F" w:rsidRPr="00E02075" w:rsidRDefault="0025301F" w:rsidP="00BB033F">
      <w:pPr>
        <w:pStyle w:val="EndnoteText"/>
        <w:rPr>
          <w:rStyle w:val="Link"/>
          <w:lang w:val="en-GB"/>
        </w:rPr>
      </w:pPr>
      <w:r>
        <w:rPr>
          <w:rStyle w:val="EndnoteReference"/>
        </w:rPr>
        <w:endnoteRef/>
      </w:r>
      <w:r w:rsidRPr="00E02075">
        <w:rPr>
          <w:lang w:val="en-GB"/>
        </w:rPr>
        <w:t xml:space="preserve"> UNDP in Kenya and Government of Kenya, 2021. Request for proposal: Consultancy firm to consultancy firm to conduct a mapping of the Kenya Innovation Ecosystem.’ Available at: </w:t>
      </w:r>
      <w:hyperlink r:id="rId5" w:history="1">
        <w:r w:rsidRPr="00E02075">
          <w:rPr>
            <w:rStyle w:val="Hyperlink"/>
            <w:color w:val="453F43" w:themeColor="background2"/>
            <w:lang w:val="en-GB"/>
          </w:rPr>
          <w:t>https://procurement-notices.undp.org/view_file.cfm?doc_id=270693</w:t>
        </w:r>
      </w:hyperlink>
    </w:p>
  </w:endnote>
  <w:endnote w:id="7">
    <w:p w14:paraId="3CBE1C71" w14:textId="31BC3253" w:rsidR="0025301F" w:rsidRPr="00E02075" w:rsidRDefault="0025301F" w:rsidP="00BB033F">
      <w:pPr>
        <w:pStyle w:val="EndnoteText"/>
        <w:rPr>
          <w:rStyle w:val="Hyperlink"/>
          <w:lang w:val="en-GB"/>
        </w:rPr>
      </w:pPr>
      <w:r>
        <w:rPr>
          <w:rStyle w:val="EndnoteReference"/>
        </w:rPr>
        <w:endnoteRef/>
      </w:r>
      <w:r w:rsidRPr="00E02075">
        <w:rPr>
          <w:lang w:val="en-GB"/>
        </w:rPr>
        <w:t xml:space="preserve"> UK Kenya Tech Hub G Drive. Understanding the Kenyan start-up ecosystem. Available at: </w:t>
      </w:r>
      <w:hyperlink r:id="rId6" w:history="1">
        <w:r w:rsidRPr="00E02075">
          <w:rPr>
            <w:rStyle w:val="Hyperlink"/>
            <w:color w:val="453F43" w:themeColor="background2"/>
            <w:lang w:val="en-GB"/>
          </w:rPr>
          <w:t>https://drive.google.com/drive/folders/1Qo3BCmb7wN90-IhcxYKdToy2Pj12t2tB</w:t>
        </w:r>
      </w:hyperlink>
    </w:p>
  </w:endnote>
  <w:endnote w:id="8">
    <w:p w14:paraId="49209C8C" w14:textId="7FD74651" w:rsidR="0025301F" w:rsidRPr="00E02075" w:rsidRDefault="0025301F" w:rsidP="00BB033F">
      <w:pPr>
        <w:pStyle w:val="EndnoteText"/>
        <w:rPr>
          <w:rStyle w:val="Hyperlink"/>
          <w:lang w:val="en-GB"/>
        </w:rPr>
      </w:pPr>
      <w:r>
        <w:rPr>
          <w:rStyle w:val="EndnoteReference"/>
        </w:rPr>
        <w:endnoteRef/>
      </w:r>
      <w:r w:rsidRPr="00E02075">
        <w:rPr>
          <w:lang w:val="en-GB"/>
        </w:rPr>
        <w:t xml:space="preserve"> United Nations Department of Economic and Social Affairs. Monterrey Conference. Available at: </w:t>
      </w:r>
      <w:hyperlink r:id="rId7" w:history="1">
        <w:r w:rsidRPr="00E02075">
          <w:rPr>
            <w:rStyle w:val="Hyperlink"/>
            <w:color w:val="453F43" w:themeColor="background2"/>
            <w:lang w:val="en-GB"/>
          </w:rPr>
          <w:t>https://www.un.org/esa/ffd/overview/monterrey-conference.html</w:t>
        </w:r>
      </w:hyperlink>
    </w:p>
  </w:endnote>
  <w:endnote w:id="9">
    <w:p w14:paraId="598803CF" w14:textId="02A24DC1" w:rsidR="0025301F" w:rsidRPr="00E02075" w:rsidRDefault="0025301F" w:rsidP="00BB033F">
      <w:pPr>
        <w:pStyle w:val="EndnoteText"/>
        <w:rPr>
          <w:lang w:val="en-GB"/>
        </w:rPr>
      </w:pPr>
      <w:r>
        <w:rPr>
          <w:rStyle w:val="EndnoteReference"/>
        </w:rPr>
        <w:endnoteRef/>
      </w:r>
      <w:r w:rsidRPr="00E02075">
        <w:rPr>
          <w:lang w:val="en-GB"/>
        </w:rPr>
        <w:t xml:space="preserve"> United Nations, 2002. Monterrey Consensus on Financing for Development. Available at: </w:t>
      </w:r>
      <w:hyperlink r:id="rId8" w:history="1">
        <w:r w:rsidRPr="00E02075">
          <w:rPr>
            <w:rStyle w:val="Hyperlink"/>
            <w:color w:val="453F43" w:themeColor="background2"/>
            <w:lang w:val="en-GB"/>
          </w:rPr>
          <w:t>https://www.un.org/esa/ffd/wp-content/uploads/2014/09/MonterreyConsensus.pdf</w:t>
        </w:r>
      </w:hyperlink>
    </w:p>
  </w:endnote>
  <w:endnote w:id="10">
    <w:p w14:paraId="661333B7" w14:textId="53B12700" w:rsidR="0025301F" w:rsidRPr="002F3255" w:rsidRDefault="0025301F" w:rsidP="00BB033F">
      <w:pPr>
        <w:pStyle w:val="EndnoteText"/>
        <w:rPr>
          <w:lang w:val="en-GB"/>
        </w:rPr>
      </w:pPr>
      <w:r>
        <w:rPr>
          <w:rStyle w:val="EndnoteReference"/>
        </w:rPr>
        <w:endnoteRef/>
      </w:r>
      <w:r w:rsidRPr="00E02075">
        <w:rPr>
          <w:lang w:val="en-GB"/>
        </w:rPr>
        <w:t xml:space="preserve"> OECD Development Assistance Committee, 2003. DAC Guidelines and Reference Series: Harmonising Donor Practices for Effective Aid Delivery.</w:t>
      </w:r>
      <w:r w:rsidRPr="00E02075">
        <w:rPr>
          <w:color w:val="000000"/>
          <w:lang w:val="en-GB"/>
        </w:rPr>
        <w:t xml:space="preserve"> </w:t>
      </w:r>
      <w:r w:rsidRPr="002F3255">
        <w:rPr>
          <w:lang w:val="en-GB"/>
        </w:rPr>
        <w:t xml:space="preserve">Available at: </w:t>
      </w:r>
      <w:hyperlink r:id="rId9" w:history="1">
        <w:r w:rsidRPr="002F3255">
          <w:rPr>
            <w:rStyle w:val="Hyperlink"/>
            <w:color w:val="453F43" w:themeColor="background2"/>
            <w:lang w:val="en-GB"/>
          </w:rPr>
          <w:t>https://www.oecd.org/dac/effectiveness/20896122.pdf</w:t>
        </w:r>
      </w:hyperlink>
    </w:p>
  </w:endnote>
  <w:endnote w:id="11">
    <w:p w14:paraId="6283B0F8" w14:textId="4A8E5720" w:rsidR="0025301F" w:rsidRPr="00CD3743" w:rsidRDefault="0025301F" w:rsidP="00BB033F">
      <w:pPr>
        <w:pStyle w:val="EndnoteText"/>
      </w:pPr>
      <w:r w:rsidRPr="00CD3743">
        <w:rPr>
          <w:rStyle w:val="EndnoteTextChar"/>
        </w:rPr>
        <w:endnoteRef/>
      </w:r>
      <w:r w:rsidRPr="00E02075">
        <w:rPr>
          <w:rStyle w:val="EndnoteTextChar"/>
          <w:lang w:val="en-GB"/>
        </w:rPr>
        <w:t xml:space="preserve"> OECD, 2003. HLF1: The First High Level Forum on Aid Effectiveness, Rome. </w:t>
      </w:r>
      <w:r w:rsidRPr="00CD3743">
        <w:rPr>
          <w:rStyle w:val="EndnoteTextChar"/>
        </w:rPr>
        <w:t xml:space="preserve">Available </w:t>
      </w:r>
      <w:r w:rsidRPr="00616BE9">
        <w:t>at:</w:t>
      </w:r>
    </w:p>
    <w:p w14:paraId="7E3B9E20" w14:textId="67383BD6" w:rsidR="0025301F" w:rsidRPr="00616BE9" w:rsidRDefault="00793CC3" w:rsidP="00BB033F">
      <w:pPr>
        <w:pStyle w:val="EndnoteText"/>
        <w:rPr>
          <w:color w:val="008ACC" w:themeColor="text2"/>
        </w:rPr>
      </w:pPr>
      <w:hyperlink r:id="rId10" w:history="1">
        <w:r w:rsidR="0025301F" w:rsidRPr="00BB033F">
          <w:rPr>
            <w:rStyle w:val="Hyperlink"/>
            <w:color w:val="453F43" w:themeColor="background2"/>
          </w:rPr>
          <w:t>www.oecd.org/dac/effectiveness/hlf-1thefirsthighlevelforumonaideffectivenessrome.htm</w:t>
        </w:r>
      </w:hyperlink>
      <w:r w:rsidR="0025301F">
        <w:t xml:space="preserve"> </w:t>
      </w:r>
      <w:hyperlink w:history="1"/>
    </w:p>
  </w:endnote>
  <w:endnote w:id="12">
    <w:p w14:paraId="32060DDB" w14:textId="7D646678" w:rsidR="0025301F" w:rsidRPr="008E189B" w:rsidRDefault="0025301F" w:rsidP="00CD3743">
      <w:pPr>
        <w:spacing w:before="0" w:line="240" w:lineRule="auto"/>
        <w:rPr>
          <w:szCs w:val="16"/>
        </w:rPr>
      </w:pPr>
      <w:r w:rsidRPr="00CD3743">
        <w:rPr>
          <w:rStyle w:val="EndnoteReference"/>
          <w:sz w:val="16"/>
          <w:szCs w:val="16"/>
        </w:rPr>
        <w:endnoteRef/>
      </w:r>
      <w:r w:rsidRPr="00CD3743">
        <w:rPr>
          <w:sz w:val="16"/>
          <w:szCs w:val="16"/>
        </w:rPr>
        <w:t xml:space="preserve"> OECD, 2003. Rome Declaration on Harmonisation. Available at: </w:t>
      </w:r>
      <w:hyperlink r:id="rId11" w:history="1">
        <w:r w:rsidRPr="00BB033F">
          <w:rPr>
            <w:rStyle w:val="Hyperlink"/>
            <w:color w:val="453F43" w:themeColor="background2"/>
            <w:sz w:val="16"/>
            <w:szCs w:val="16"/>
          </w:rPr>
          <w:t>https://www.oecd.org/dac/effectiveness/31451637.pdf</w:t>
        </w:r>
      </w:hyperlink>
    </w:p>
  </w:endnote>
  <w:endnote w:id="13">
    <w:p w14:paraId="309B1F21" w14:textId="5488D065" w:rsidR="0025301F" w:rsidRPr="00F24880" w:rsidRDefault="0025301F" w:rsidP="00CD3743">
      <w:pPr>
        <w:spacing w:before="0" w:line="240" w:lineRule="auto"/>
      </w:pPr>
      <w:r w:rsidRPr="00CD3743">
        <w:rPr>
          <w:sz w:val="16"/>
          <w:szCs w:val="16"/>
        </w:rPr>
        <w:endnoteRef/>
      </w:r>
      <w:r w:rsidRPr="00CD3743">
        <w:rPr>
          <w:sz w:val="16"/>
          <w:szCs w:val="16"/>
        </w:rPr>
        <w:t xml:space="preserve"> OECD, 2005. Second High Level Forum on Aid Effectiveness (HLF-2), 28 February to 2 March 2005, Paris, France. Available at: </w:t>
      </w:r>
      <w:hyperlink r:id="rId12" w:history="1">
        <w:r w:rsidRPr="00BB033F">
          <w:rPr>
            <w:rStyle w:val="Hyperlink"/>
            <w:rFonts w:asciiTheme="minorHAnsi" w:eastAsiaTheme="majorEastAsia" w:hAnsiTheme="minorHAnsi" w:cstheme="minorHAnsi"/>
            <w:color w:val="453F43" w:themeColor="background2"/>
            <w:sz w:val="16"/>
            <w:szCs w:val="16"/>
          </w:rPr>
          <w:t>https://www.oecd.org/dac/effectiveness/secondhighlevelforumonjointprogresstowardenhancedaideffectivenessharmonisationalignmentandresults.htm</w:t>
        </w:r>
      </w:hyperlink>
    </w:p>
  </w:endnote>
  <w:endnote w:id="14">
    <w:p w14:paraId="3A3EFF81" w14:textId="46AD6A39" w:rsidR="0025301F" w:rsidRPr="00E02075" w:rsidRDefault="0025301F" w:rsidP="00BB033F">
      <w:pPr>
        <w:pStyle w:val="EndnoteText"/>
        <w:rPr>
          <w:rStyle w:val="Hyperlink"/>
          <w:lang w:val="en-GB"/>
        </w:rPr>
      </w:pPr>
      <w:r w:rsidRPr="00566457">
        <w:rPr>
          <w:rStyle w:val="EndnoteReference"/>
          <w:sz w:val="16"/>
          <w:szCs w:val="16"/>
        </w:rPr>
        <w:endnoteRef/>
      </w:r>
      <w:r w:rsidRPr="00E02075">
        <w:rPr>
          <w:szCs w:val="16"/>
          <w:lang w:val="en-GB"/>
        </w:rPr>
        <w:t xml:space="preserve"> OECD. The Accra Agenda for Action (AAA). Available at: </w:t>
      </w:r>
      <w:hyperlink r:id="rId13" w:history="1">
        <w:r w:rsidRPr="00E02075">
          <w:rPr>
            <w:rStyle w:val="Hyperlink"/>
            <w:color w:val="453F43" w:themeColor="background2"/>
            <w:lang w:val="en-GB"/>
          </w:rPr>
          <w:t>https://www.oecd.org/dac/effectiveness/45827311.pdf</w:t>
        </w:r>
      </w:hyperlink>
    </w:p>
  </w:endnote>
  <w:endnote w:id="15">
    <w:p w14:paraId="3B29A88E" w14:textId="426BA4A1" w:rsidR="0025301F" w:rsidRPr="00E02075" w:rsidRDefault="0025301F" w:rsidP="00BB033F">
      <w:pPr>
        <w:pStyle w:val="EndnoteText"/>
        <w:rPr>
          <w:lang w:val="en-GB"/>
        </w:rPr>
      </w:pPr>
      <w:r>
        <w:rPr>
          <w:rStyle w:val="EndnoteReference"/>
        </w:rPr>
        <w:endnoteRef/>
      </w:r>
      <w:r w:rsidRPr="00E02075">
        <w:rPr>
          <w:lang w:val="en-GB"/>
        </w:rPr>
        <w:t xml:space="preserve"> OECD, 2011. Busan Partnership for Effective Development Co-operation. Available at: </w:t>
      </w:r>
      <w:hyperlink r:id="rId14" w:history="1">
        <w:r w:rsidRPr="00E02075">
          <w:rPr>
            <w:rStyle w:val="Hyperlink"/>
            <w:color w:val="453F43" w:themeColor="background2"/>
            <w:lang w:val="en-GB"/>
          </w:rPr>
          <w:t>https://www.oecd.org/dac/effectiveness/49650173.pdf</w:t>
        </w:r>
      </w:hyperlink>
    </w:p>
  </w:endnote>
  <w:endnote w:id="16">
    <w:p w14:paraId="5356C63D" w14:textId="7AA5F244" w:rsidR="0025301F" w:rsidRPr="00E02075" w:rsidRDefault="0025301F" w:rsidP="00BB033F">
      <w:pPr>
        <w:pStyle w:val="EndnoteText"/>
        <w:rPr>
          <w:lang w:val="en-GB"/>
        </w:rPr>
      </w:pPr>
      <w:r>
        <w:rPr>
          <w:rStyle w:val="EndnoteReference"/>
        </w:rPr>
        <w:endnoteRef/>
      </w:r>
      <w:r w:rsidRPr="00E02075">
        <w:rPr>
          <w:lang w:val="en-GB"/>
        </w:rPr>
        <w:t xml:space="preserve"> Global Partnership for Effective Development Co-operation (GPEDC). The Effectiveness Principles. Available at: </w:t>
      </w:r>
      <w:hyperlink r:id="rId15" w:history="1">
        <w:r w:rsidRPr="00E02075">
          <w:rPr>
            <w:rStyle w:val="Hyperlink"/>
            <w:color w:val="453F43" w:themeColor="background2"/>
            <w:lang w:val="en-GB"/>
          </w:rPr>
          <w:t>https://www.effectivecooperation.org/landing-page/effectiveness-principles</w:t>
        </w:r>
      </w:hyperlink>
    </w:p>
  </w:endnote>
  <w:endnote w:id="17">
    <w:p w14:paraId="41A23297" w14:textId="09ADA1C3" w:rsidR="0025301F" w:rsidRPr="00E02075" w:rsidRDefault="0025301F" w:rsidP="00BB033F">
      <w:pPr>
        <w:pStyle w:val="EndnoteText"/>
        <w:rPr>
          <w:lang w:val="en-GB"/>
        </w:rPr>
      </w:pPr>
      <w:r>
        <w:rPr>
          <w:rStyle w:val="EndnoteReference"/>
        </w:rPr>
        <w:endnoteRef/>
      </w:r>
      <w:r w:rsidRPr="00E02075">
        <w:rPr>
          <w:lang w:val="en-GB"/>
        </w:rPr>
        <w:t xml:space="preserve"> GPEDC, 2014. First High-Level Meeting of the Global Partnership for Effective Development Co-operation: Building Towards an Inclusive Post-2015 Development Agenda. Available at: </w:t>
      </w:r>
      <w:hyperlink r:id="rId16" w:history="1">
        <w:r w:rsidRPr="00E02075">
          <w:rPr>
            <w:rStyle w:val="Hyperlink"/>
            <w:color w:val="453F43" w:themeColor="background2"/>
            <w:lang w:val="en-GB"/>
          </w:rPr>
          <w:t>https://www.effectivecooperation.org/system/files/2020-06/Communique-Mexico-HLM-16.4.14.pdf</w:t>
        </w:r>
      </w:hyperlink>
    </w:p>
  </w:endnote>
  <w:endnote w:id="18">
    <w:p w14:paraId="2FF2729F" w14:textId="54F7A8F8" w:rsidR="0025301F" w:rsidRPr="0068302D" w:rsidRDefault="0025301F" w:rsidP="00BB033F">
      <w:pPr>
        <w:pStyle w:val="EndnoteText"/>
      </w:pPr>
      <w:r>
        <w:rPr>
          <w:rStyle w:val="EndnoteReference"/>
        </w:rPr>
        <w:endnoteRef/>
      </w:r>
      <w:r w:rsidRPr="00616BE9">
        <w:t xml:space="preserve"> GPEDC, 2016. Nairobi outcome document. </w:t>
      </w:r>
      <w:r w:rsidRPr="0068302D">
        <w:t xml:space="preserve">Available at: </w:t>
      </w:r>
      <w:hyperlink r:id="rId17" w:history="1">
        <w:r w:rsidRPr="00BB033F">
          <w:rPr>
            <w:rStyle w:val="Hyperlink"/>
            <w:color w:val="453F43" w:themeColor="background2"/>
          </w:rPr>
          <w:t>https://www.effectivecooperation.org/system/files/2020-05/Nairobi-Outcome-Document-English.pdf</w:t>
        </w:r>
      </w:hyperlink>
    </w:p>
  </w:endnote>
  <w:endnote w:id="19">
    <w:p w14:paraId="3139D708" w14:textId="59137270" w:rsidR="0025301F" w:rsidRPr="00E02075" w:rsidRDefault="0025301F" w:rsidP="00BB033F">
      <w:pPr>
        <w:pStyle w:val="EndnoteText"/>
        <w:rPr>
          <w:lang w:val="en-GB"/>
        </w:rPr>
      </w:pPr>
      <w:r>
        <w:rPr>
          <w:rStyle w:val="EndnoteReference"/>
        </w:rPr>
        <w:endnoteRef/>
      </w:r>
      <w:r w:rsidRPr="00E02075">
        <w:rPr>
          <w:lang w:val="en-GB"/>
        </w:rPr>
        <w:t xml:space="preserve"> GPEDC, 2019. Senior Level Meeting of the Global Partnership for Effective Development Co-operation. Available at: </w:t>
      </w:r>
      <w:hyperlink r:id="rId18" w:history="1">
        <w:r w:rsidRPr="00E02075">
          <w:rPr>
            <w:rStyle w:val="Hyperlink"/>
            <w:color w:val="453F43" w:themeColor="background2"/>
            <w:lang w:val="en-GB"/>
          </w:rPr>
          <w:t>https://www.effectivecooperation.org/system/files/2020-05/2019-Senior-Level-Meeting-Co-Chair-Statement.pdf</w:t>
        </w:r>
      </w:hyperlink>
    </w:p>
  </w:endnote>
  <w:endnote w:id="20">
    <w:p w14:paraId="39C1CCA4" w14:textId="4A18625A" w:rsidR="0025301F" w:rsidRPr="00E02075" w:rsidRDefault="0025301F" w:rsidP="00BB033F">
      <w:pPr>
        <w:pStyle w:val="EndnoteText"/>
        <w:rPr>
          <w:rStyle w:val="Hyperlink"/>
          <w:lang w:val="en-GB"/>
        </w:rPr>
      </w:pPr>
      <w:r>
        <w:rPr>
          <w:rStyle w:val="EndnoteReference"/>
        </w:rPr>
        <w:endnoteRef/>
      </w:r>
      <w:r w:rsidRPr="00E02075">
        <w:rPr>
          <w:lang w:val="en-GB"/>
        </w:rPr>
        <w:t xml:space="preserve"> Nunnenkamp P., et al. Donor Coordination and Specialization: Did the Paris Declaration Make a Difference? Rev World Econ, 149, 2013, 537–563. Available at: </w:t>
      </w:r>
      <w:hyperlink r:id="rId19" w:history="1">
        <w:r w:rsidRPr="00E02075">
          <w:rPr>
            <w:rStyle w:val="Hyperlink"/>
            <w:color w:val="453F43" w:themeColor="background2"/>
            <w:lang w:val="en-GB"/>
          </w:rPr>
          <w:t>https://www.jstor.org/stable/42635238</w:t>
        </w:r>
      </w:hyperlink>
    </w:p>
  </w:endnote>
  <w:endnote w:id="21">
    <w:p w14:paraId="139F2080" w14:textId="7A1F47E3" w:rsidR="0025301F" w:rsidRPr="00E02075" w:rsidRDefault="0025301F" w:rsidP="00BB033F">
      <w:pPr>
        <w:pStyle w:val="EndnoteText"/>
        <w:rPr>
          <w:lang w:val="en-GB"/>
        </w:rPr>
      </w:pPr>
      <w:r>
        <w:rPr>
          <w:rStyle w:val="EndnoteReference"/>
        </w:rPr>
        <w:endnoteRef/>
      </w:r>
      <w:r w:rsidRPr="00E02075">
        <w:rPr>
          <w:lang w:val="en-GB"/>
        </w:rPr>
        <w:t xml:space="preserve"> GPEDC, 2019. Making Development Co-operation More Effective: 2019 Progress</w:t>
      </w:r>
      <w:r w:rsidRPr="00E02075">
        <w:rPr>
          <w:color w:val="000000"/>
          <w:lang w:val="en-GB"/>
        </w:rPr>
        <w:t xml:space="preserve"> Report. Available at: </w:t>
      </w:r>
      <w:hyperlink r:id="rId20" w:history="1">
        <w:r w:rsidRPr="00E02075">
          <w:rPr>
            <w:rStyle w:val="Hyperlink"/>
            <w:color w:val="453F43" w:themeColor="background2"/>
            <w:lang w:val="en-GB"/>
          </w:rPr>
          <w:t>https://www.undp.org/sites/g/files/zskgke326/files/publications/UNDP-OECD_Making_Development_Co-operation_More%20Effective_2019_Progress_Report.pdf</w:t>
        </w:r>
      </w:hyperlink>
    </w:p>
  </w:endnote>
  <w:endnote w:id="22">
    <w:p w14:paraId="13822555" w14:textId="52A4BDF7" w:rsidR="0025301F" w:rsidRPr="00E02075" w:rsidRDefault="0025301F" w:rsidP="00BB033F">
      <w:pPr>
        <w:pStyle w:val="EndnoteText"/>
        <w:rPr>
          <w:lang w:val="en-GB"/>
        </w:rPr>
      </w:pPr>
      <w:r>
        <w:rPr>
          <w:rStyle w:val="EndnoteReference"/>
        </w:rPr>
        <w:endnoteRef/>
      </w:r>
      <w:r w:rsidRPr="00E02075">
        <w:rPr>
          <w:lang w:val="en-GB"/>
        </w:rPr>
        <w:t xml:space="preserve"> </w:t>
      </w:r>
      <w:hyperlink r:id="rId21" w:history="1">
        <w:r w:rsidRPr="00E02075">
          <w:rPr>
            <w:lang w:val="en-GB"/>
          </w:rPr>
          <w:t>Wickremasinghe</w:t>
        </w:r>
      </w:hyperlink>
      <w:r w:rsidRPr="00E02075">
        <w:rPr>
          <w:lang w:val="en-GB"/>
        </w:rPr>
        <w:t xml:space="preserve"> D., et al. “It’s About the Idea Hitting the Bull’s Eye": How Aid Effectiveness Can Catalyse the Scale-up of Health Innovations. Int J Health Policy Manag, 7(8), 2018, 718–727. Available at: </w:t>
      </w:r>
      <w:hyperlink r:id="rId22" w:history="1">
        <w:r w:rsidRPr="00E02075">
          <w:rPr>
            <w:rStyle w:val="Hyperlink"/>
            <w:color w:val="453F43" w:themeColor="background2"/>
            <w:lang w:val="en-GB"/>
          </w:rPr>
          <w:t>https://www.ncbi.nlm.nih.gov/pmc/articles/PMC6077277/</w:t>
        </w:r>
      </w:hyperlink>
    </w:p>
  </w:endnote>
  <w:endnote w:id="23">
    <w:p w14:paraId="1AD8CF2F" w14:textId="32BA143E" w:rsidR="0025301F" w:rsidRPr="00E02075" w:rsidRDefault="0025301F" w:rsidP="00BB033F">
      <w:pPr>
        <w:pStyle w:val="EndnoteText"/>
        <w:rPr>
          <w:lang w:val="en-GB"/>
        </w:rPr>
      </w:pPr>
      <w:r>
        <w:rPr>
          <w:rStyle w:val="EndnoteReference"/>
        </w:rPr>
        <w:endnoteRef/>
      </w:r>
      <w:r w:rsidRPr="00E02075">
        <w:rPr>
          <w:lang w:val="en-GB"/>
        </w:rPr>
        <w:t xml:space="preserve"> We have conducted data landscaping exercises in Bangladesh, Kenya, Nepal, Nigeria, Uganda, United Arab Emirates and Zimbabwe.</w:t>
      </w:r>
    </w:p>
  </w:endnote>
  <w:endnote w:id="24">
    <w:p w14:paraId="1A9330E3" w14:textId="4E2B61E2" w:rsidR="0025301F" w:rsidRPr="00E02075" w:rsidRDefault="0025301F" w:rsidP="00BB033F">
      <w:pPr>
        <w:pStyle w:val="EndnoteText"/>
        <w:rPr>
          <w:lang w:val="en-GB"/>
        </w:rPr>
      </w:pPr>
      <w:r>
        <w:rPr>
          <w:rStyle w:val="EndnoteReference"/>
        </w:rPr>
        <w:endnoteRef/>
      </w:r>
      <w:r w:rsidRPr="00E02075">
        <w:rPr>
          <w:lang w:val="en-GB"/>
        </w:rPr>
        <w:t xml:space="preserve"> </w:t>
      </w:r>
      <w:r w:rsidRPr="00E02075">
        <w:rPr>
          <w:color w:val="000000"/>
          <w:lang w:val="en-GB"/>
        </w:rPr>
        <w:t> </w:t>
      </w:r>
      <w:r w:rsidRPr="00E02075">
        <w:rPr>
          <w:lang w:val="en-GB"/>
        </w:rPr>
        <w:t xml:space="preserve">USAID outsources DHS to ICF, “a global advisory and digital services provider” </w:t>
      </w:r>
      <w:hyperlink r:id="rId23" w:history="1">
        <w:r w:rsidRPr="00E02075">
          <w:rPr>
            <w:rStyle w:val="Hyperlink"/>
            <w:color w:val="453F43" w:themeColor="background2"/>
            <w:lang w:val="en-GB"/>
          </w:rPr>
          <w:t>https://www.icf.com/clients/health/demographic-health-surveys-technical-assistance</w:t>
        </w:r>
      </w:hyperlink>
    </w:p>
  </w:endnote>
  <w:endnote w:id="25">
    <w:p w14:paraId="75B32363" w14:textId="7DC06E47" w:rsidR="0025301F" w:rsidRPr="00E02075" w:rsidRDefault="0025301F" w:rsidP="00BB033F">
      <w:pPr>
        <w:pStyle w:val="EndnoteText"/>
        <w:rPr>
          <w:lang w:val="en-GB"/>
        </w:rPr>
      </w:pPr>
      <w:r>
        <w:rPr>
          <w:rStyle w:val="EndnoteReference"/>
        </w:rPr>
        <w:endnoteRef/>
      </w:r>
      <w:r w:rsidRPr="00E02075">
        <w:rPr>
          <w:lang w:val="en-GB"/>
        </w:rPr>
        <w:t xml:space="preserve"> The World Bank designed and funded Living Standards Measurement Survey is not included in this discussion as it geared towards more country designed longitudinal ‘panel’ surveys. </w:t>
      </w:r>
      <w:hyperlink r:id="rId24" w:history="1">
        <w:r w:rsidRPr="00E02075">
          <w:rPr>
            <w:rStyle w:val="Hyperlink"/>
            <w:color w:val="453F43" w:themeColor="background2"/>
            <w:lang w:val="en-GB"/>
          </w:rPr>
          <w:t>https://www.worldbank.org/en/programs/lsms</w:t>
        </w:r>
      </w:hyperlink>
    </w:p>
  </w:endnote>
  <w:endnote w:id="26">
    <w:p w14:paraId="5D645275" w14:textId="4D7608D6" w:rsidR="0025301F" w:rsidRDefault="0025301F" w:rsidP="00BB033F">
      <w:pPr>
        <w:pStyle w:val="EndnoteText"/>
      </w:pPr>
      <w:r>
        <w:rPr>
          <w:rStyle w:val="EndnoteReference"/>
        </w:rPr>
        <w:endnoteRef/>
      </w:r>
      <w:r w:rsidRPr="00E02075">
        <w:rPr>
          <w:lang w:val="en-GB"/>
        </w:rPr>
        <w:t xml:space="preserve"> Development Initiatives, 2016. Household surveys: do competing standards serve country needs?</w:t>
      </w:r>
      <w:r w:rsidRPr="00E02075">
        <w:rPr>
          <w:color w:val="000000"/>
          <w:lang w:val="en-GB"/>
        </w:rPr>
        <w:t xml:space="preserve"> </w:t>
      </w:r>
      <w:hyperlink r:id="rId25" w:history="1">
        <w:r w:rsidRPr="00BB033F">
          <w:rPr>
            <w:rStyle w:val="Hyperlink"/>
            <w:color w:val="453F43" w:themeColor="background2"/>
          </w:rPr>
          <w:t>https://devinit.org/resources/household-surveys-competing-standards-serve-country-needs/</w:t>
        </w:r>
      </w:hyperlink>
    </w:p>
  </w:endnote>
  <w:endnote w:id="27">
    <w:p w14:paraId="0D41C6C9" w14:textId="725889D8" w:rsidR="0025301F" w:rsidRPr="00E02075" w:rsidRDefault="0025301F" w:rsidP="00BB033F">
      <w:pPr>
        <w:pStyle w:val="EndnoteText"/>
        <w:rPr>
          <w:lang w:val="en-GB"/>
        </w:rPr>
      </w:pPr>
      <w:r>
        <w:rPr>
          <w:rStyle w:val="EndnoteReference"/>
        </w:rPr>
        <w:endnoteRef/>
      </w:r>
      <w:r w:rsidRPr="00E02075">
        <w:rPr>
          <w:lang w:val="en-GB"/>
        </w:rPr>
        <w:t xml:space="preserve"> Nigerian National Bureau Statistics, 2019. Nigeria - Multiple Indicator Cluster Survey/National Immunization Coverage Survey 2016-17, Fifth round (MICS) and NICS (third Round). Available at: </w:t>
      </w:r>
    </w:p>
    <w:p w14:paraId="6CBBE282" w14:textId="2F73D0FB" w:rsidR="0025301F" w:rsidRPr="00E02075" w:rsidRDefault="00793CC3" w:rsidP="00BB033F">
      <w:pPr>
        <w:pStyle w:val="EndnoteText"/>
        <w:rPr>
          <w:rStyle w:val="Hyperlink"/>
          <w:lang w:val="en-GB"/>
        </w:rPr>
      </w:pPr>
      <w:hyperlink r:id="rId26" w:history="1">
        <w:r w:rsidR="0025301F" w:rsidRPr="00E02075">
          <w:rPr>
            <w:rStyle w:val="Hyperlink"/>
            <w:color w:val="453F43" w:themeColor="background2"/>
            <w:lang w:val="en-GB"/>
          </w:rPr>
          <w:t>https://www.nigerianstat.gov.ng/nada/index.php/catalog/59</w:t>
        </w:r>
      </w:hyperlink>
    </w:p>
  </w:endnote>
  <w:endnote w:id="28">
    <w:p w14:paraId="25B7C065" w14:textId="4AD0FD51" w:rsidR="0025301F" w:rsidRPr="00E02075" w:rsidRDefault="0025301F" w:rsidP="00BB033F">
      <w:pPr>
        <w:pStyle w:val="EndnoteText"/>
        <w:rPr>
          <w:lang w:val="en-GB"/>
        </w:rPr>
      </w:pPr>
      <w:r>
        <w:rPr>
          <w:rStyle w:val="EndnoteReference"/>
        </w:rPr>
        <w:endnoteRef/>
      </w:r>
      <w:r w:rsidRPr="00E02075">
        <w:rPr>
          <w:lang w:val="en-GB"/>
        </w:rPr>
        <w:t xml:space="preserve"> DHS Program, </w:t>
      </w:r>
      <w:hyperlink r:id="rId27" w:history="1">
        <w:r w:rsidRPr="00E02075">
          <w:rPr>
            <w:rStyle w:val="Hyperlink"/>
            <w:color w:val="453F43" w:themeColor="background2"/>
            <w:lang w:val="en-GB"/>
          </w:rPr>
          <w:t>https://dhsprogram.com/publications/publication-fr359-dhs-final-reports.cfm</w:t>
        </w:r>
      </w:hyperlink>
    </w:p>
  </w:endnote>
  <w:endnote w:id="29">
    <w:p w14:paraId="78FB101B" w14:textId="4CD06258" w:rsidR="0025301F" w:rsidRPr="00E02075" w:rsidRDefault="0025301F" w:rsidP="00BB033F">
      <w:pPr>
        <w:pStyle w:val="EndnoteText"/>
        <w:rPr>
          <w:lang w:val="en-GB"/>
        </w:rPr>
      </w:pPr>
      <w:r>
        <w:rPr>
          <w:rStyle w:val="EndnoteReference"/>
        </w:rPr>
        <w:endnoteRef/>
      </w:r>
      <w:r w:rsidRPr="00E02075">
        <w:rPr>
          <w:lang w:val="en-GB"/>
        </w:rPr>
        <w:t xml:space="preserve"> UNICEF, 2020. Bangladesh MICS 2019 report: Key findings. Available at: </w:t>
      </w:r>
      <w:hyperlink r:id="rId28" w:history="1">
        <w:r w:rsidRPr="00E02075">
          <w:rPr>
            <w:rStyle w:val="Hyperlink"/>
            <w:color w:val="453F43" w:themeColor="background2"/>
            <w:lang w:val="en-GB"/>
          </w:rPr>
          <w:t>https://mics.unicef.org/news_entries/152/BANGLADESH-MICS-2019-REPORT:-KEY-FINDINGS</w:t>
        </w:r>
      </w:hyperlink>
    </w:p>
  </w:endnote>
  <w:endnote w:id="30">
    <w:p w14:paraId="4C143546" w14:textId="74C7D0B5" w:rsidR="0025301F" w:rsidRPr="00E02075" w:rsidRDefault="0025301F" w:rsidP="00BB033F">
      <w:pPr>
        <w:pStyle w:val="EndnoteText"/>
        <w:rPr>
          <w:lang w:val="en-GB"/>
        </w:rPr>
      </w:pPr>
      <w:r>
        <w:rPr>
          <w:rStyle w:val="EndnoteReference"/>
        </w:rPr>
        <w:endnoteRef/>
      </w:r>
      <w:r w:rsidRPr="00E02075">
        <w:rPr>
          <w:lang w:val="en-GB"/>
        </w:rPr>
        <w:t xml:space="preserve"> USAID and NIPORT, 2019. Bangladesh Demographic and Health Survey 2017–18. Key indicators. Available at: </w:t>
      </w:r>
      <w:hyperlink r:id="rId29" w:history="1">
        <w:r w:rsidRPr="00E02075">
          <w:rPr>
            <w:rStyle w:val="Hyperlink"/>
            <w:color w:val="453F43" w:themeColor="background2"/>
            <w:lang w:val="en-GB"/>
          </w:rPr>
          <w:t>https://dhsprogram.com/pubs/pdf/PR104/PR104.pdf</w:t>
        </w:r>
      </w:hyperlink>
    </w:p>
  </w:endnote>
  <w:endnote w:id="31">
    <w:p w14:paraId="7BF2E87F" w14:textId="53F2D1C4" w:rsidR="0025301F" w:rsidRPr="00E02075" w:rsidRDefault="0025301F" w:rsidP="00BB033F">
      <w:pPr>
        <w:pStyle w:val="EndnoteText"/>
        <w:rPr>
          <w:lang w:val="en-GB"/>
        </w:rPr>
      </w:pPr>
      <w:r>
        <w:rPr>
          <w:rStyle w:val="EndnoteReference"/>
        </w:rPr>
        <w:endnoteRef/>
      </w:r>
      <w:r w:rsidRPr="00E02075">
        <w:rPr>
          <w:lang w:val="en-GB"/>
        </w:rPr>
        <w:t xml:space="preserve">  Development Initiatives, 2020 (unpublished). Data issues and challenges for the UNICEF Bangladesh Country Office.</w:t>
      </w:r>
    </w:p>
  </w:endnote>
  <w:endnote w:id="32">
    <w:p w14:paraId="049F247E" w14:textId="0E221857" w:rsidR="0025301F" w:rsidRPr="00E02075" w:rsidRDefault="0025301F" w:rsidP="00BB033F">
      <w:pPr>
        <w:pStyle w:val="EndnoteText"/>
        <w:rPr>
          <w:lang w:val="en-GB"/>
        </w:rPr>
      </w:pPr>
      <w:r>
        <w:rPr>
          <w:rStyle w:val="EndnoteReference"/>
        </w:rPr>
        <w:endnoteRef/>
      </w:r>
      <w:r w:rsidRPr="00E02075">
        <w:rPr>
          <w:lang w:val="en-GB"/>
        </w:rPr>
        <w:t xml:space="preserve"> UN Economic and Social Council, 2015. Report of the World Bank on improving household surveys in the post-2015 development era: issues and recommendations for a shared agenda. E/CN.3/2015/10. Available at: </w:t>
      </w:r>
      <w:hyperlink r:id="rId30" w:history="1">
        <w:r w:rsidRPr="00E02075">
          <w:rPr>
            <w:rStyle w:val="Hyperlink"/>
            <w:color w:val="453F43" w:themeColor="background2"/>
            <w:lang w:val="en-GB"/>
          </w:rPr>
          <w:t>https://unstats.un.org/unsd/statcom/doc15/2015-10-HouseholdSurveys-E.pdf</w:t>
        </w:r>
      </w:hyperlink>
    </w:p>
  </w:endnote>
  <w:endnote w:id="33">
    <w:p w14:paraId="05561428" w14:textId="7D475C3E" w:rsidR="0025301F" w:rsidRPr="00E02075" w:rsidRDefault="0025301F" w:rsidP="00BB033F">
      <w:pPr>
        <w:pStyle w:val="EndnoteText"/>
        <w:rPr>
          <w:lang w:val="en-GB"/>
        </w:rPr>
      </w:pPr>
      <w:r>
        <w:rPr>
          <w:rStyle w:val="EndnoteReference"/>
        </w:rPr>
        <w:endnoteRef/>
      </w:r>
      <w:r w:rsidRPr="00E02075">
        <w:rPr>
          <w:lang w:val="en-GB"/>
        </w:rPr>
        <w:t xml:space="preserve"> Intersecretariat Working Group on Household Surveys, </w:t>
      </w:r>
      <w:hyperlink r:id="rId31" w:history="1">
        <w:r w:rsidRPr="00E02075">
          <w:rPr>
            <w:rStyle w:val="Hyperlink"/>
            <w:color w:val="453F43" w:themeColor="background2"/>
            <w:lang w:val="en-GB"/>
          </w:rPr>
          <w:t>https://unstats.un.org/iswghs/</w:t>
        </w:r>
      </w:hyperlink>
    </w:p>
  </w:endnote>
  <w:endnote w:id="34">
    <w:p w14:paraId="4020CEED" w14:textId="09878822" w:rsidR="0025301F" w:rsidRPr="00E02075" w:rsidRDefault="0025301F" w:rsidP="00BB033F">
      <w:pPr>
        <w:pStyle w:val="EndnoteText"/>
        <w:rPr>
          <w:lang w:val="en-GB"/>
        </w:rPr>
      </w:pPr>
      <w:r>
        <w:rPr>
          <w:rStyle w:val="EndnoteReference"/>
        </w:rPr>
        <w:endnoteRef/>
      </w:r>
      <w:r w:rsidRPr="00E02075">
        <w:rPr>
          <w:lang w:val="en-GB"/>
        </w:rPr>
        <w:t xml:space="preserve"> UN Economic and Social Council, 2016. Intersecretariat Working Group on Household Surveys - Report of the Secretary-General. E/CN.3/2016/21. Available at: </w:t>
      </w:r>
      <w:hyperlink r:id="rId32" w:history="1">
        <w:r w:rsidRPr="00E02075">
          <w:rPr>
            <w:rStyle w:val="Hyperlink"/>
            <w:color w:val="453F43" w:themeColor="background2"/>
            <w:lang w:val="en-GB"/>
          </w:rPr>
          <w:t>https://unstats.un.org/unsd/statcom/47th-session/documents/2016-21-ISWG-on-household-surveys-E.pdf</w:t>
        </w:r>
      </w:hyperlink>
    </w:p>
  </w:endnote>
  <w:endnote w:id="35">
    <w:p w14:paraId="2D999C90" w14:textId="52127C1D" w:rsidR="0025301F" w:rsidRPr="00E02075" w:rsidRDefault="0025301F" w:rsidP="00BB033F">
      <w:pPr>
        <w:pStyle w:val="EndnoteText"/>
        <w:rPr>
          <w:lang w:val="en-GB"/>
        </w:rPr>
      </w:pPr>
      <w:r>
        <w:rPr>
          <w:rStyle w:val="EndnoteReference"/>
        </w:rPr>
        <w:endnoteRef/>
      </w:r>
      <w:r w:rsidRPr="00E02075">
        <w:rPr>
          <w:lang w:val="en-GB"/>
        </w:rPr>
        <w:t xml:space="preserve"> UN Economic and Social Council, 2021. Report of the Intersecretariat Working Group on Household Surveys. E/CN.3/2021/16. Available at: </w:t>
      </w:r>
      <w:hyperlink r:id="rId33" w:history="1">
        <w:r w:rsidRPr="00E02075">
          <w:rPr>
            <w:rStyle w:val="Hyperlink"/>
            <w:color w:val="453F43" w:themeColor="background2"/>
            <w:lang w:val="en-GB"/>
          </w:rPr>
          <w:t>https://unstats.un.org/unsd/statcom/52nd-session/documents/2021-16-HouseholdSurveys-E.pdf</w:t>
        </w:r>
      </w:hyperlink>
    </w:p>
  </w:endnote>
  <w:endnote w:id="36">
    <w:p w14:paraId="2B7E116B" w14:textId="69DA9430" w:rsidR="0025301F" w:rsidRPr="00E02075" w:rsidRDefault="0025301F" w:rsidP="00BB033F">
      <w:pPr>
        <w:pStyle w:val="EndnoteText"/>
        <w:rPr>
          <w:lang w:val="en-GB"/>
        </w:rPr>
      </w:pPr>
      <w:r>
        <w:rPr>
          <w:rStyle w:val="EndnoteReference"/>
        </w:rPr>
        <w:endnoteRef/>
      </w:r>
      <w:r w:rsidRPr="00E02075">
        <w:rPr>
          <w:lang w:val="en-GB"/>
        </w:rPr>
        <w:t xml:space="preserve"> Intersecretariat Working Group on Household Surveys, 2019. Achieving the Full Potential of Household Surveys in the SDG Era. Available at: </w:t>
      </w:r>
      <w:hyperlink r:id="rId34" w:history="1">
        <w:r w:rsidRPr="00E02075">
          <w:rPr>
            <w:rStyle w:val="Hyperlink"/>
            <w:color w:val="453F43" w:themeColor="background2"/>
            <w:lang w:val="en-GB"/>
          </w:rPr>
          <w:t>https://unstats.un.org/unsd/statcom/50th-session/documents/BG-Item4c-ISWGHS-E.pdf</w:t>
        </w:r>
      </w:hyperlink>
    </w:p>
  </w:endnote>
  <w:endnote w:id="37">
    <w:p w14:paraId="1F51DEE9" w14:textId="1A2DA136" w:rsidR="0025301F" w:rsidRPr="00E02075" w:rsidRDefault="0025301F" w:rsidP="00BB033F">
      <w:pPr>
        <w:pStyle w:val="EndnoteText"/>
        <w:rPr>
          <w:lang w:val="en-GB"/>
        </w:rPr>
      </w:pPr>
      <w:r>
        <w:rPr>
          <w:rStyle w:val="EndnoteReference"/>
        </w:rPr>
        <w:endnoteRef/>
      </w:r>
      <w:r w:rsidRPr="00E02075">
        <w:rPr>
          <w:lang w:val="en-GB"/>
        </w:rPr>
        <w:t xml:space="preserve"> Development Initiatives, 2019. Unpublished research conducted on behalf of UNICEF.</w:t>
      </w:r>
    </w:p>
  </w:endnote>
  <w:endnote w:id="38">
    <w:p w14:paraId="3942E568" w14:textId="052DD32F" w:rsidR="0025301F" w:rsidRPr="00E02075" w:rsidRDefault="0025301F" w:rsidP="00BB033F">
      <w:pPr>
        <w:pStyle w:val="EndnoteText"/>
        <w:rPr>
          <w:lang w:val="en-GB"/>
        </w:rPr>
      </w:pPr>
      <w:r>
        <w:rPr>
          <w:rStyle w:val="EndnoteReference"/>
        </w:rPr>
        <w:endnoteRef/>
      </w:r>
      <w:r w:rsidRPr="00E02075">
        <w:rPr>
          <w:lang w:val="en-GB"/>
        </w:rPr>
        <w:t xml:space="preserve"> African Development Bank, Australian Aid, Food and Agriculture Organization, International Labour Organization, IrishAid, Swedish International Development Cooperation Agency, UK Department for International Development (DFID), UNICEF, United Nations Development Programme, United Nations Environment Programme, United Nations Population Fund (UNFPA), UN International Strategy for Disaster Reduction, US Centers for Disease Control and Prevention, US President's Emergency Plan for AIDS Relief, USAID, World Food Programme, World Bank.</w:t>
      </w:r>
    </w:p>
  </w:endnote>
  <w:endnote w:id="39">
    <w:p w14:paraId="189E8627" w14:textId="2AD0A04C" w:rsidR="0025301F" w:rsidRPr="00E02075" w:rsidRDefault="0025301F" w:rsidP="00BB033F">
      <w:pPr>
        <w:pStyle w:val="EndnoteText"/>
        <w:rPr>
          <w:lang w:val="en-GB"/>
        </w:rPr>
      </w:pPr>
      <w:r>
        <w:rPr>
          <w:rStyle w:val="EndnoteReference"/>
        </w:rPr>
        <w:endnoteRef/>
      </w:r>
      <w:r w:rsidRPr="00E02075">
        <w:rPr>
          <w:lang w:val="en-GB"/>
        </w:rPr>
        <w:t xml:space="preserve"> UNICEF ROSA, 2019. Health System Strengthening: Transforming the health information system in Bangladesh. Available at: </w:t>
      </w:r>
      <w:hyperlink r:id="rId35" w:history="1">
        <w:r w:rsidRPr="00E02075">
          <w:rPr>
            <w:rStyle w:val="Hyperlink"/>
            <w:color w:val="453F43" w:themeColor="background2"/>
            <w:lang w:val="en-GB"/>
          </w:rPr>
          <w:t>https://www.unicef.org/rosa/reports/health-system-strengthening-transforming-health-information-system-bangladesh</w:t>
        </w:r>
      </w:hyperlink>
    </w:p>
  </w:endnote>
  <w:endnote w:id="40">
    <w:p w14:paraId="590D7C2C" w14:textId="039096D2" w:rsidR="0025301F" w:rsidRPr="00E02075" w:rsidRDefault="0025301F" w:rsidP="00BB033F">
      <w:pPr>
        <w:pStyle w:val="EndnoteText"/>
        <w:rPr>
          <w:lang w:val="en-GB"/>
        </w:rPr>
      </w:pPr>
      <w:r>
        <w:rPr>
          <w:rStyle w:val="EndnoteReference"/>
        </w:rPr>
        <w:endnoteRef/>
      </w:r>
      <w:r w:rsidRPr="00E02075">
        <w:rPr>
          <w:lang w:val="en-GB"/>
        </w:rPr>
        <w:t xml:space="preserve"> Development Initiatives, 2019 (unpublished). Data issues and challenges for the UNICEF Bangladesh Country Office: Diagnostic Report.</w:t>
      </w:r>
    </w:p>
  </w:endnote>
  <w:endnote w:id="41">
    <w:p w14:paraId="0A86B479" w14:textId="0964D417" w:rsidR="0025301F" w:rsidRPr="00E02075" w:rsidRDefault="0025301F" w:rsidP="00BB033F">
      <w:pPr>
        <w:pStyle w:val="EndnoteText"/>
        <w:rPr>
          <w:lang w:val="en-GB"/>
        </w:rPr>
      </w:pPr>
      <w:r>
        <w:rPr>
          <w:rStyle w:val="EndnoteReference"/>
        </w:rPr>
        <w:endnoteRef/>
      </w:r>
      <w:r w:rsidRPr="00E02075">
        <w:rPr>
          <w:lang w:val="en-GB"/>
        </w:rPr>
        <w:t xml:space="preserve"> BIPAD, </w:t>
      </w:r>
      <w:hyperlink r:id="rId36" w:history="1">
        <w:r w:rsidRPr="00E02075">
          <w:rPr>
            <w:rStyle w:val="Hyperlink"/>
            <w:color w:val="453F43" w:themeColor="background2"/>
            <w:lang w:val="en-GB"/>
          </w:rPr>
          <w:t>https://bipadportal.gov.np/</w:t>
        </w:r>
      </w:hyperlink>
    </w:p>
  </w:endnote>
  <w:endnote w:id="42">
    <w:p w14:paraId="623FB023" w14:textId="44D46919" w:rsidR="0025301F" w:rsidRPr="00E02075" w:rsidRDefault="0025301F" w:rsidP="00BB033F">
      <w:pPr>
        <w:pStyle w:val="EndnoteText"/>
        <w:rPr>
          <w:lang w:val="en-GB"/>
        </w:rPr>
      </w:pPr>
      <w:r>
        <w:rPr>
          <w:rStyle w:val="EndnoteReference"/>
        </w:rPr>
        <w:endnoteRef/>
      </w:r>
      <w:r w:rsidRPr="00E02075">
        <w:rPr>
          <w:lang w:val="en-GB"/>
        </w:rPr>
        <w:t xml:space="preserve">  Government of Nepal. Nepal Disaster Risk Reduction Portal, </w:t>
      </w:r>
      <w:hyperlink r:id="rId37" w:history="1">
        <w:r w:rsidRPr="00E02075">
          <w:rPr>
            <w:rStyle w:val="Hyperlink"/>
            <w:color w:val="453F43" w:themeColor="background2"/>
            <w:lang w:val="en-GB"/>
          </w:rPr>
          <w:t>http://drrportal.gov.np/</w:t>
        </w:r>
      </w:hyperlink>
    </w:p>
  </w:endnote>
  <w:endnote w:id="43">
    <w:p w14:paraId="61D36C31" w14:textId="0F84FE32" w:rsidR="0025301F" w:rsidRPr="00E02075" w:rsidRDefault="0025301F" w:rsidP="00BB033F">
      <w:pPr>
        <w:pStyle w:val="EndnoteText"/>
        <w:rPr>
          <w:lang w:val="en-GB"/>
        </w:rPr>
      </w:pPr>
      <w:r>
        <w:rPr>
          <w:rStyle w:val="EndnoteReference"/>
        </w:rPr>
        <w:endnoteRef/>
      </w:r>
      <w:r w:rsidRPr="00E02075">
        <w:rPr>
          <w:lang w:val="en-GB"/>
        </w:rPr>
        <w:t xml:space="preserve"> WHO 2017, Standards for Public Health Information Services in Activated Health Clusters and other Humanitarian Health Coordination Mechanisms. Available at: </w:t>
      </w:r>
      <w:hyperlink r:id="rId38" w:history="1">
        <w:r w:rsidRPr="00E02075">
          <w:rPr>
            <w:rStyle w:val="Hyperlink"/>
            <w:color w:val="453F43" w:themeColor="background2"/>
            <w:lang w:val="en-GB"/>
          </w:rPr>
          <w:t>https://www.who.int/publications/i/item/standards-for-public-health-information-services</w:t>
        </w:r>
      </w:hyperlink>
      <w:r w:rsidRPr="00E02075">
        <w:rPr>
          <w:lang w:val="en-GB"/>
        </w:rPr>
        <w:t xml:space="preserve"> </w:t>
      </w:r>
    </w:p>
  </w:endnote>
  <w:endnote w:id="44">
    <w:p w14:paraId="3AFB32EC" w14:textId="14DA68EF" w:rsidR="0025301F" w:rsidRPr="00E02075" w:rsidRDefault="0025301F" w:rsidP="00BB033F">
      <w:pPr>
        <w:pStyle w:val="EndnoteText"/>
        <w:rPr>
          <w:lang w:val="en-GB"/>
        </w:rPr>
      </w:pPr>
      <w:r>
        <w:rPr>
          <w:rStyle w:val="EndnoteReference"/>
        </w:rPr>
        <w:endnoteRef/>
      </w:r>
      <w:r w:rsidRPr="00E02075">
        <w:rPr>
          <w:lang w:val="en-GB"/>
        </w:rPr>
        <w:t xml:space="preserve"> OCHA. Humanitarian Development Nexus. Available at: </w:t>
      </w:r>
      <w:hyperlink r:id="rId39" w:history="1">
        <w:r w:rsidRPr="00E02075">
          <w:rPr>
            <w:rStyle w:val="Hyperlink"/>
            <w:color w:val="453F43" w:themeColor="background2"/>
            <w:lang w:val="en-GB"/>
          </w:rPr>
          <w:t>https://www.unocha.org/es/themes/humanitarian-development-nexus</w:t>
        </w:r>
      </w:hyperlink>
    </w:p>
  </w:endnote>
  <w:endnote w:id="45">
    <w:p w14:paraId="7D0ABA5A" w14:textId="4F2B0B95" w:rsidR="0025301F" w:rsidRPr="00E02075" w:rsidRDefault="0025301F" w:rsidP="00BB033F">
      <w:pPr>
        <w:pStyle w:val="EndnoteText"/>
        <w:rPr>
          <w:rStyle w:val="Hyperlink"/>
          <w:lang w:val="en-GB"/>
        </w:rPr>
      </w:pPr>
      <w:r>
        <w:rPr>
          <w:rStyle w:val="EndnoteReference"/>
        </w:rPr>
        <w:endnoteRef/>
      </w:r>
      <w:r w:rsidRPr="00E02075">
        <w:rPr>
          <w:lang w:val="en-GB"/>
        </w:rPr>
        <w:t xml:space="preserve"> Ayodeji Makinde O. et al. Duplication of effort across Development Projects in Nigeria: An example using the Master Health Facility List. Online J Public Health Inform, 10(2), 2018, e208. Available at: </w:t>
      </w:r>
      <w:hyperlink r:id="rId40" w:history="1">
        <w:r w:rsidRPr="00E02075">
          <w:rPr>
            <w:rStyle w:val="Hyperlink"/>
            <w:color w:val="453F43" w:themeColor="background2"/>
            <w:lang w:val="en-GB"/>
          </w:rPr>
          <w:t>https://www.ncbi.nlm.nih.gov/pmc/articles/PMC6194105/</w:t>
        </w:r>
      </w:hyperlink>
    </w:p>
  </w:endnote>
  <w:endnote w:id="46">
    <w:p w14:paraId="0D8364AE" w14:textId="336F33B5" w:rsidR="0025301F" w:rsidRPr="00E02075" w:rsidRDefault="0025301F" w:rsidP="00BB033F">
      <w:pPr>
        <w:pStyle w:val="EndnoteText"/>
        <w:rPr>
          <w:lang w:val="en-GB"/>
        </w:rPr>
      </w:pPr>
      <w:r>
        <w:rPr>
          <w:rStyle w:val="EndnoteReference"/>
        </w:rPr>
        <w:endnoteRef/>
      </w:r>
      <w:r w:rsidRPr="00E02075">
        <w:rPr>
          <w:lang w:val="en-GB"/>
        </w:rPr>
        <w:t xml:space="preserve"> USAID, UK DFID, Global Fund, UNFPA and the World Bank.</w:t>
      </w:r>
    </w:p>
  </w:endnote>
  <w:endnote w:id="47">
    <w:p w14:paraId="6362D4E7" w14:textId="1316BF43" w:rsidR="0025301F" w:rsidRPr="00E02075" w:rsidRDefault="0025301F" w:rsidP="00BB033F">
      <w:pPr>
        <w:pStyle w:val="EndnoteText"/>
        <w:rPr>
          <w:lang w:val="en-GB"/>
        </w:rPr>
      </w:pPr>
      <w:r>
        <w:rPr>
          <w:rStyle w:val="EndnoteReference"/>
        </w:rPr>
        <w:endnoteRef/>
      </w:r>
      <w:r w:rsidRPr="00E02075">
        <w:rPr>
          <w:lang w:val="en-GB"/>
        </w:rPr>
        <w:t xml:space="preserve"> </w:t>
      </w:r>
      <w:r w:rsidR="00E02075" w:rsidRPr="00E02075">
        <w:rPr>
          <w:lang w:val="en-GB"/>
        </w:rPr>
        <w:t>Development Initiatives, 2016. Household surveys: do competing standards serve country needs?</w:t>
      </w:r>
      <w:r w:rsidR="00E02075" w:rsidRPr="00E02075">
        <w:rPr>
          <w:color w:val="000000"/>
          <w:lang w:val="en-GB"/>
        </w:rPr>
        <w:t xml:space="preserve"> </w:t>
      </w:r>
      <w:r w:rsidR="00E02075" w:rsidRPr="00E02075">
        <w:rPr>
          <w:lang w:val="en-GB"/>
        </w:rPr>
        <w:t xml:space="preserve">Available at: </w:t>
      </w:r>
      <w:hyperlink r:id="rId41" w:history="1">
        <w:r w:rsidR="00E02075" w:rsidRPr="00E02075">
          <w:rPr>
            <w:rStyle w:val="Hyperlink"/>
            <w:color w:val="453F43" w:themeColor="background2"/>
            <w:lang w:val="en-GB"/>
          </w:rPr>
          <w:t>https://devinit.org/resources/household-surveys-competing-standards-serve-country-needs/</w:t>
        </w:r>
      </w:hyperlink>
    </w:p>
  </w:endnote>
  <w:endnote w:id="48">
    <w:p w14:paraId="4B19B426" w14:textId="3CB3DFC0" w:rsidR="0025301F" w:rsidRPr="00E02075" w:rsidRDefault="0025301F" w:rsidP="00BB033F">
      <w:pPr>
        <w:pStyle w:val="EndnoteText"/>
        <w:rPr>
          <w:lang w:val="en-GB"/>
        </w:rPr>
      </w:pPr>
      <w:r>
        <w:rPr>
          <w:rStyle w:val="EndnoteReference"/>
        </w:rPr>
        <w:endnoteRef/>
      </w:r>
      <w:r w:rsidRPr="00E02075">
        <w:rPr>
          <w:lang w:val="en-GB"/>
        </w:rPr>
        <w:t xml:space="preserve"> Development Initiatives, 2019. Unpublished paper. Data for Children – Uganda: Joint Diagnostic and Action Plan.</w:t>
      </w:r>
    </w:p>
  </w:endnote>
  <w:endnote w:id="49">
    <w:p w14:paraId="607A3528" w14:textId="69ADDB10" w:rsidR="0025301F" w:rsidRPr="00E02075" w:rsidRDefault="0025301F" w:rsidP="00BB033F">
      <w:pPr>
        <w:pStyle w:val="EndnoteText"/>
        <w:rPr>
          <w:lang w:val="en-GB"/>
        </w:rPr>
      </w:pPr>
      <w:r>
        <w:rPr>
          <w:rStyle w:val="EndnoteReference"/>
        </w:rPr>
        <w:endnoteRef/>
      </w:r>
      <w:r w:rsidRPr="00E02075">
        <w:rPr>
          <w:lang w:val="en-GB"/>
        </w:rPr>
        <w:t xml:space="preserve"> Development Initiatives, 2019. Harmonising registration and identification in emergencies in Somalia. Available at: </w:t>
      </w:r>
      <w:hyperlink r:id="rId42" w:history="1">
        <w:r w:rsidRPr="00E02075">
          <w:rPr>
            <w:rStyle w:val="Hyperlink"/>
            <w:color w:val="453F43" w:themeColor="background2"/>
            <w:lang w:val="en-GB"/>
          </w:rPr>
          <w:t>https://devinit.org/resources/cash-transfer-somalia/</w:t>
        </w:r>
      </w:hyperlink>
    </w:p>
  </w:endnote>
  <w:endnote w:id="50">
    <w:p w14:paraId="77BEAFF9" w14:textId="7D43AEF7" w:rsidR="0025301F" w:rsidRPr="00E02075" w:rsidRDefault="0025301F" w:rsidP="00BB033F">
      <w:pPr>
        <w:pStyle w:val="EndnoteText"/>
        <w:rPr>
          <w:lang w:val="en-GB"/>
        </w:rPr>
      </w:pPr>
      <w:r w:rsidRPr="00453C4E">
        <w:rPr>
          <w:rStyle w:val="EndnoteReference"/>
        </w:rPr>
        <w:endnoteRef/>
      </w:r>
      <w:r w:rsidRPr="00E02075">
        <w:rPr>
          <w:lang w:val="en-GB"/>
        </w:rPr>
        <w:t xml:space="preserve"> OECD, 2021. Achieving SDG Results in Development Co-operation: Summary for Policy Makers. Available at: </w:t>
      </w:r>
      <w:hyperlink r:id="rId43" w:history="1">
        <w:r w:rsidRPr="00E02075">
          <w:rPr>
            <w:rStyle w:val="Hyperlink"/>
            <w:color w:val="453F43" w:themeColor="background2"/>
            <w:lang w:val="en-GB"/>
          </w:rPr>
          <w:t>https://www.oecd-ilibrary.org/development/achieving-sdg-results-in-development-co-operation_5b2b0ee8-en</w:t>
        </w:r>
      </w:hyperlink>
    </w:p>
  </w:endnote>
  <w:endnote w:id="51">
    <w:p w14:paraId="48418D20" w14:textId="78EC3329" w:rsidR="0025301F" w:rsidRPr="00E02075" w:rsidRDefault="0025301F" w:rsidP="00BB033F">
      <w:pPr>
        <w:pStyle w:val="EndnoteText"/>
        <w:rPr>
          <w:lang w:val="en-GB"/>
        </w:rPr>
      </w:pPr>
      <w:r>
        <w:rPr>
          <w:rStyle w:val="EndnoteReference"/>
        </w:rPr>
        <w:endnoteRef/>
      </w:r>
      <w:r w:rsidRPr="00E02075">
        <w:rPr>
          <w:lang w:val="en-GB"/>
        </w:rPr>
        <w:t xml:space="preserve"> PARIS21, 2021. Partner Report on Support to Statistics. PRESS 2021. Available at: https://paris21.org/press</w:t>
      </w:r>
    </w:p>
  </w:endnote>
  <w:endnote w:id="52">
    <w:p w14:paraId="42C6262A" w14:textId="092ED083" w:rsidR="0025301F" w:rsidRPr="00E02075" w:rsidRDefault="0025301F" w:rsidP="00BB033F">
      <w:pPr>
        <w:pStyle w:val="EndnoteText"/>
        <w:rPr>
          <w:lang w:val="en-GB"/>
        </w:rPr>
      </w:pPr>
      <w:r>
        <w:rPr>
          <w:rStyle w:val="EndnoteReference"/>
        </w:rPr>
        <w:endnoteRef/>
      </w:r>
      <w:r w:rsidRPr="00E02075">
        <w:rPr>
          <w:lang w:val="en-GB"/>
        </w:rPr>
        <w:t xml:space="preserve"> OCHA, 2018. US$21.9 billion needed in 2019 as average length of humanitarian crises climbs. Available at: </w:t>
      </w:r>
      <w:hyperlink r:id="rId44" w:history="1">
        <w:r w:rsidRPr="00E02075">
          <w:rPr>
            <w:rStyle w:val="Hyperlink"/>
            <w:color w:val="453F43" w:themeColor="background2"/>
            <w:lang w:val="en-GB"/>
          </w:rPr>
          <w:t>https://www.unocha.org/story/us219-billion-needed-2019-average-length-humanitarian-crises-climbs</w:t>
        </w:r>
      </w:hyperlink>
    </w:p>
  </w:endnote>
  <w:endnote w:id="53">
    <w:p w14:paraId="1FAE1929" w14:textId="4AE82468" w:rsidR="0025301F" w:rsidRPr="00E02075" w:rsidRDefault="0025301F" w:rsidP="00BB033F">
      <w:pPr>
        <w:pStyle w:val="EndnoteText"/>
        <w:rPr>
          <w:lang w:val="en-GB"/>
        </w:rPr>
      </w:pPr>
      <w:r w:rsidRPr="005E6DD6">
        <w:rPr>
          <w:rStyle w:val="EndnoteReference"/>
        </w:rPr>
        <w:endnoteRef/>
      </w:r>
      <w:r w:rsidRPr="00E02075">
        <w:rPr>
          <w:lang w:val="en-GB"/>
        </w:rPr>
        <w:t xml:space="preserve"> Inter-Agency Standing Committee. The Grand Bargain – A Shared Commitment to Better Serve People in Need. Available here: </w:t>
      </w:r>
      <w:hyperlink r:id="rId45" w:history="1">
        <w:r w:rsidRPr="00E02075">
          <w:rPr>
            <w:rStyle w:val="Hyperlink"/>
            <w:color w:val="453F43" w:themeColor="background2"/>
            <w:lang w:val="en-GB"/>
          </w:rPr>
          <w:t>https://interagencystandingcommittee.org/system/files/grand_bargain_final_22_may_final-2_0.pdf</w:t>
        </w:r>
      </w:hyperlink>
    </w:p>
  </w:endnote>
  <w:endnote w:id="54">
    <w:p w14:paraId="42F1E5F1" w14:textId="47865511" w:rsidR="0025301F" w:rsidRPr="00E02075" w:rsidRDefault="0025301F" w:rsidP="00BB033F">
      <w:pPr>
        <w:pStyle w:val="EndnoteText"/>
        <w:rPr>
          <w:lang w:val="en-GB"/>
        </w:rPr>
      </w:pPr>
      <w:r>
        <w:rPr>
          <w:rStyle w:val="EndnoteReference"/>
        </w:rPr>
        <w:endnoteRef/>
      </w:r>
      <w:r w:rsidRPr="00E02075">
        <w:rPr>
          <w:lang w:val="en-GB"/>
        </w:rPr>
        <w:t xml:space="preserve"> In particular between the International Organization for Migration and the United Nations High Commissioner for Refugees. According to a report in the New Humanitarian: “Behind the scenes, feelings are running high”. Available at: </w:t>
      </w:r>
      <w:hyperlink r:id="rId46" w:history="1">
        <w:r w:rsidRPr="00E02075">
          <w:rPr>
            <w:rStyle w:val="Hyperlink"/>
            <w:color w:val="453F43" w:themeColor="background2"/>
            <w:lang w:val="en-GB"/>
          </w:rPr>
          <w:t>http://www.thenewhumanitarian.org/news/2017/10/23/bangladesh-resists-greater-unhcr-role-rohingya-crisis</w:t>
        </w:r>
      </w:hyperlink>
    </w:p>
  </w:endnote>
  <w:endnote w:id="55">
    <w:p w14:paraId="05639AEC" w14:textId="55C93DF3" w:rsidR="0025301F" w:rsidRPr="00E02075" w:rsidRDefault="0025301F" w:rsidP="00BB033F">
      <w:pPr>
        <w:pStyle w:val="EndnoteText"/>
        <w:rPr>
          <w:lang w:val="en-GB"/>
        </w:rPr>
      </w:pPr>
      <w:r>
        <w:rPr>
          <w:rStyle w:val="EndnoteReference"/>
        </w:rPr>
        <w:endnoteRef/>
      </w:r>
      <w:r w:rsidRPr="00E02075">
        <w:rPr>
          <w:lang w:val="en-GB"/>
        </w:rPr>
        <w:t xml:space="preserve"> Development Initiatives, 2019 (unpublished). Data issues and challenges for the UNICEF Bangladesh Country Office: Diagnostic Report</w:t>
      </w:r>
    </w:p>
  </w:endnote>
  <w:endnote w:id="56">
    <w:p w14:paraId="1FFC4F38" w14:textId="27C16A67" w:rsidR="0025301F" w:rsidRPr="00E02075" w:rsidRDefault="0025301F" w:rsidP="00BB033F">
      <w:pPr>
        <w:pStyle w:val="EndnoteText"/>
        <w:rPr>
          <w:lang w:val="en-GB"/>
        </w:rPr>
      </w:pPr>
      <w:r w:rsidRPr="00651082">
        <w:rPr>
          <w:rStyle w:val="EndnoteReference"/>
        </w:rPr>
        <w:endnoteRef/>
      </w:r>
      <w:r w:rsidRPr="00E02075">
        <w:rPr>
          <w:lang w:val="en-GB"/>
        </w:rPr>
        <w:t xml:space="preserve"> Development Initiatives, 2020 (publication pending). Meeting the SDGs in South Sudan: The data landscape.</w:t>
      </w:r>
    </w:p>
  </w:endnote>
  <w:endnote w:id="57">
    <w:p w14:paraId="1E91F56A" w14:textId="189A4309" w:rsidR="0025301F" w:rsidRPr="00E02075" w:rsidRDefault="0025301F" w:rsidP="00BB033F">
      <w:pPr>
        <w:pStyle w:val="EndnoteText"/>
        <w:rPr>
          <w:lang w:val="en-GB"/>
        </w:rPr>
      </w:pPr>
      <w:r>
        <w:rPr>
          <w:rStyle w:val="EndnoteReference"/>
        </w:rPr>
        <w:endnoteRef/>
      </w:r>
      <w:r w:rsidRPr="00E02075">
        <w:rPr>
          <w:lang w:val="en-GB"/>
        </w:rPr>
        <w:t xml:space="preserve">  Authors’ experience in Nigeria and Bangladesh in 2019.</w:t>
      </w:r>
    </w:p>
  </w:endnote>
  <w:endnote w:id="58">
    <w:p w14:paraId="34FBFE28" w14:textId="40454C90" w:rsidR="0025301F" w:rsidRPr="00E02075" w:rsidRDefault="0025301F" w:rsidP="00BB033F">
      <w:pPr>
        <w:pStyle w:val="EndnoteText"/>
        <w:rPr>
          <w:lang w:val="en-GB"/>
        </w:rPr>
      </w:pPr>
      <w:r>
        <w:rPr>
          <w:rStyle w:val="EndnoteReference"/>
        </w:rPr>
        <w:endnoteRef/>
      </w:r>
      <w:r w:rsidRPr="00E02075">
        <w:rPr>
          <w:lang w:val="en-GB"/>
        </w:rPr>
        <w:t xml:space="preserve"> Conflict Sensitivity Resource Facility, 2020. Lost in Translation: The interaction between international humanitarian aid and South Sudanese accountability systems. Available at: </w:t>
      </w:r>
      <w:hyperlink r:id="rId47" w:history="1">
        <w:r w:rsidRPr="00E02075">
          <w:rPr>
            <w:rStyle w:val="Hyperlink"/>
            <w:color w:val="453F43" w:themeColor="background2"/>
            <w:lang w:val="en-GB"/>
          </w:rPr>
          <w:t>https://reliefweb.int/sites/reliefweb.int/files/resources/Lost-in-Translation-The-Interaction-Between-International-Aid-and-South-Sudanese-Accountability-Systems-Final-1.pdf</w:t>
        </w:r>
      </w:hyperlink>
    </w:p>
  </w:endnote>
  <w:endnote w:id="59">
    <w:p w14:paraId="4F86273B" w14:textId="515BB729" w:rsidR="0025301F" w:rsidRPr="00E02075" w:rsidRDefault="0025301F" w:rsidP="00BB033F">
      <w:pPr>
        <w:pStyle w:val="EndnoteText"/>
        <w:rPr>
          <w:lang w:val="en-GB"/>
        </w:rPr>
      </w:pPr>
      <w:r>
        <w:rPr>
          <w:rStyle w:val="EndnoteReference"/>
        </w:rPr>
        <w:endnoteRef/>
      </w:r>
      <w:r w:rsidRPr="00E02075">
        <w:rPr>
          <w:lang w:val="en-GB"/>
        </w:rPr>
        <w:t xml:space="preserve"> Somalia Public Agenda, 2021. Who owns data in Somalia? Ending the country’s privatised knowledge Economy. Available at: </w:t>
      </w:r>
      <w:hyperlink r:id="rId48" w:history="1">
        <w:r w:rsidRPr="00E02075">
          <w:rPr>
            <w:rStyle w:val="Hyperlink"/>
            <w:color w:val="453F43" w:themeColor="background2"/>
            <w:lang w:val="en-GB"/>
          </w:rPr>
          <w:t>https://somalipublicagenda.org/wp-content/uploads/2021/06/SPA_Governance_Briefs_12_2021_ENGLISH-1.pdf</w:t>
        </w:r>
      </w:hyperlink>
    </w:p>
  </w:endnote>
  <w:endnote w:id="60">
    <w:p w14:paraId="3B3BBD28" w14:textId="33BBB593" w:rsidR="0025301F" w:rsidRPr="00616BE9" w:rsidRDefault="0025301F" w:rsidP="00BB033F">
      <w:pPr>
        <w:pStyle w:val="EndnoteText"/>
        <w:rPr>
          <w:rFonts w:ascii="Times New Roman" w:hAnsi="Times New Roman"/>
          <w:color w:val="auto"/>
          <w:szCs w:val="24"/>
        </w:rPr>
      </w:pPr>
      <w:r>
        <w:rPr>
          <w:rStyle w:val="EndnoteReference"/>
        </w:rPr>
        <w:endnoteRef/>
      </w:r>
      <w:r w:rsidRPr="00E02075">
        <w:rPr>
          <w:lang w:val="en-GB"/>
        </w:rPr>
        <w:t xml:space="preserve"> Slim H. Localization is Self-Determination. </w:t>
      </w:r>
      <w:r w:rsidRPr="00CD3743">
        <w:t>Front Polit Sci</w:t>
      </w:r>
      <w:r w:rsidRPr="00616BE9">
        <w:t xml:space="preserve">, 2021, </w:t>
      </w:r>
      <w:hyperlink r:id="rId49" w:history="1">
        <w:r w:rsidRPr="00BB033F">
          <w:rPr>
            <w:rStyle w:val="Hyperlink"/>
            <w:color w:val="453F43" w:themeColor="background2"/>
          </w:rPr>
          <w:t>https://www.frontiersin.org/articles/10.3389/fpos.2021.708584/full</w:t>
        </w:r>
      </w:hyperlink>
      <w:r w:rsidRPr="00616BE9">
        <w:rPr>
          <w:rStyle w:val="Hyperlink"/>
        </w:rPr>
        <w:t> </w:t>
      </w:r>
    </w:p>
  </w:endnote>
  <w:endnote w:id="61">
    <w:p w14:paraId="5E5EF61C" w14:textId="6A859FA0" w:rsidR="0025301F" w:rsidRPr="00E02075" w:rsidRDefault="0025301F" w:rsidP="00CD3743">
      <w:pPr>
        <w:pStyle w:val="Heading1"/>
        <w:spacing w:after="0"/>
        <w:rPr>
          <w:rStyle w:val="EndnoteTextChar"/>
          <w:b w:val="0"/>
          <w:bCs w:val="0"/>
          <w:lang w:val="en-GB"/>
        </w:rPr>
      </w:pPr>
      <w:r w:rsidRPr="00FD2BB0">
        <w:rPr>
          <w:rStyle w:val="EndnoteReference"/>
          <w:b w:val="0"/>
          <w:bCs w:val="0"/>
          <w:color w:val="453F43" w:themeColor="background2"/>
        </w:rPr>
        <w:endnoteRef/>
      </w:r>
      <w:r w:rsidRPr="00E02075">
        <w:rPr>
          <w:rStyle w:val="EndnoteTextChar"/>
          <w:b w:val="0"/>
          <w:bCs w:val="0"/>
          <w:lang w:val="en-GB"/>
        </w:rPr>
        <w:t xml:space="preserve"> The World Bank. Trust Fund for Statistical Capacity Building (TFSCB). Available at: </w:t>
      </w:r>
    </w:p>
    <w:p w14:paraId="635BE46A" w14:textId="2023A087" w:rsidR="0025301F" w:rsidRPr="00E02075" w:rsidRDefault="00793CC3" w:rsidP="00BB033F">
      <w:pPr>
        <w:pStyle w:val="EndnoteText"/>
        <w:rPr>
          <w:lang w:val="en-GB"/>
        </w:rPr>
      </w:pPr>
      <w:hyperlink r:id="rId50" w:anchor="1" w:history="1">
        <w:r w:rsidR="0025301F" w:rsidRPr="00E02075">
          <w:rPr>
            <w:rStyle w:val="Hyperlink"/>
            <w:color w:val="453F43" w:themeColor="background2"/>
            <w:lang w:val="en-GB"/>
          </w:rPr>
          <w:t>https://www.worldbank.org/en/data/statistical-capacity-building/trust-fund-for-statistical-capacity-building#1</w:t>
        </w:r>
      </w:hyperlink>
    </w:p>
  </w:endnote>
  <w:endnote w:id="62">
    <w:p w14:paraId="6C738313" w14:textId="5209040B" w:rsidR="0025301F" w:rsidRPr="00E02075" w:rsidRDefault="0025301F" w:rsidP="00BB033F">
      <w:pPr>
        <w:pStyle w:val="EndnoteText"/>
        <w:rPr>
          <w:rStyle w:val="Hyperlink"/>
          <w:lang w:val="en-GB"/>
        </w:rPr>
      </w:pPr>
      <w:r>
        <w:rPr>
          <w:rStyle w:val="EndnoteReference"/>
        </w:rPr>
        <w:endnoteRef/>
      </w:r>
      <w:r w:rsidRPr="00E02075">
        <w:rPr>
          <w:lang w:val="en-GB"/>
        </w:rPr>
        <w:t xml:space="preserve"> </w:t>
      </w:r>
      <w:r w:rsidRPr="00E02075">
        <w:rPr>
          <w:rStyle w:val="EndnoteTextChar"/>
          <w:lang w:val="en-GB"/>
        </w:rPr>
        <w:t xml:space="preserve">The World Bank. Introducing the Global Data Facility. Available at: </w:t>
      </w:r>
      <w:hyperlink r:id="rId51" w:history="1">
        <w:r w:rsidRPr="00E02075">
          <w:rPr>
            <w:rStyle w:val="Hyperlink"/>
            <w:color w:val="453F43" w:themeColor="background2"/>
            <w:lang w:val="en-GB"/>
          </w:rPr>
          <w:t>https://www.worldbank.org/en/research/brief/global-data-facility</w:t>
        </w:r>
      </w:hyperlink>
    </w:p>
  </w:endnote>
  <w:endnote w:id="63">
    <w:p w14:paraId="6158A630" w14:textId="05E72A6D" w:rsidR="0025301F" w:rsidRPr="00E02075" w:rsidRDefault="0025301F" w:rsidP="00BB033F">
      <w:pPr>
        <w:pStyle w:val="EndnoteText"/>
        <w:rPr>
          <w:lang w:val="en-GB"/>
        </w:rPr>
      </w:pPr>
      <w:r>
        <w:rPr>
          <w:rStyle w:val="EndnoteReference"/>
        </w:rPr>
        <w:endnoteRef/>
      </w:r>
      <w:r w:rsidRPr="00E02075">
        <w:rPr>
          <w:lang w:val="en-GB"/>
        </w:rPr>
        <w:t xml:space="preserve"> Clearinghouse for Financing Development Data, </w:t>
      </w:r>
      <w:hyperlink r:id="rId52" w:history="1">
        <w:r w:rsidRPr="00E02075">
          <w:rPr>
            <w:rStyle w:val="Hyperlink"/>
            <w:color w:val="453F43" w:themeColor="background2"/>
            <w:lang w:val="en-GB"/>
          </w:rPr>
          <w:t>https://smartdatafinance.org/</w:t>
        </w:r>
      </w:hyperlink>
    </w:p>
  </w:endnote>
  <w:endnote w:id="64">
    <w:p w14:paraId="700282EA" w14:textId="5FCE53B6" w:rsidR="0025301F" w:rsidRPr="00E02075" w:rsidRDefault="0025301F" w:rsidP="00BB033F">
      <w:pPr>
        <w:pStyle w:val="EndnoteText"/>
        <w:rPr>
          <w:lang w:val="en-GB"/>
        </w:rPr>
      </w:pPr>
      <w:r>
        <w:rPr>
          <w:rStyle w:val="EndnoteReference"/>
        </w:rPr>
        <w:endnoteRef/>
      </w:r>
      <w:r w:rsidRPr="00E02075">
        <w:rPr>
          <w:lang w:val="en-GB"/>
        </w:rPr>
        <w:t xml:space="preserve"> </w:t>
      </w:r>
      <w:r w:rsidRPr="00E02075">
        <w:rPr>
          <w:color w:val="000000"/>
          <w:lang w:val="en-GB"/>
        </w:rPr>
        <w:t> </w:t>
      </w:r>
      <w:r w:rsidRPr="00E02075">
        <w:rPr>
          <w:lang w:val="en-GB"/>
        </w:rPr>
        <w:t xml:space="preserve">OECD. Development finance standards. Available at: </w:t>
      </w:r>
      <w:hyperlink r:id="rId53" w:history="1">
        <w:r w:rsidRPr="00E02075">
          <w:rPr>
            <w:rStyle w:val="Hyperlink"/>
            <w:color w:val="453F43" w:themeColor="background2"/>
            <w:lang w:val="en-GB"/>
          </w:rPr>
          <w:t>https://www.oecd.org/dac/financing-sustainable-development/development-finance-standards/</w:t>
        </w:r>
      </w:hyperlink>
      <w:r w:rsidRPr="00E02075">
        <w:rPr>
          <w:color w:val="000000"/>
          <w:lang w:val="en-GB"/>
        </w:rPr>
        <w:t> </w:t>
      </w:r>
    </w:p>
  </w:endnote>
  <w:endnote w:id="65">
    <w:p w14:paraId="02D49802" w14:textId="11FF029B" w:rsidR="0025301F" w:rsidRPr="00E02075" w:rsidRDefault="0025301F" w:rsidP="00BB033F">
      <w:pPr>
        <w:pStyle w:val="EndnoteText"/>
        <w:rPr>
          <w:lang w:val="en-GB"/>
        </w:rPr>
      </w:pPr>
      <w:r>
        <w:rPr>
          <w:rStyle w:val="EndnoteReference"/>
        </w:rPr>
        <w:endnoteRef/>
      </w:r>
      <w:r w:rsidRPr="00E02075">
        <w:rPr>
          <w:lang w:val="en-GB"/>
        </w:rPr>
        <w:t xml:space="preserve"> International Aid Transparency Initiative</w:t>
      </w:r>
      <w:r w:rsidRPr="00E02075">
        <w:rPr>
          <w:color w:val="000000"/>
          <w:lang w:val="en-GB"/>
        </w:rPr>
        <w:t xml:space="preserve">, </w:t>
      </w:r>
      <w:hyperlink r:id="rId54" w:history="1">
        <w:r w:rsidRPr="00E02075">
          <w:rPr>
            <w:rStyle w:val="Hyperlink"/>
            <w:color w:val="453F43" w:themeColor="background2"/>
            <w:lang w:val="en-GB"/>
          </w:rPr>
          <w:t>https://iatistandard.org/en/</w:t>
        </w:r>
      </w:hyperlink>
    </w:p>
  </w:endnote>
  <w:endnote w:id="66">
    <w:p w14:paraId="7724552B" w14:textId="7FE02EA2" w:rsidR="0025301F" w:rsidRPr="00E02075" w:rsidRDefault="0025301F" w:rsidP="00BB033F">
      <w:pPr>
        <w:pStyle w:val="EndnoteText"/>
        <w:rPr>
          <w:lang w:val="en-GB"/>
        </w:rPr>
      </w:pPr>
      <w:r>
        <w:rPr>
          <w:rStyle w:val="EndnoteReference"/>
        </w:rPr>
        <w:endnoteRef/>
      </w:r>
      <w:r w:rsidRPr="00E02075">
        <w:rPr>
          <w:lang w:val="en-GB"/>
        </w:rPr>
        <w:t xml:space="preserve"> The Advisory Panel of the World Bank’s Trust Fund for Statistical Capacity Building, 2017. Report of the Fourteenth Meeting of the TFSCB Advisory Panel. Available at: </w:t>
      </w:r>
      <w:hyperlink r:id="rId55" w:history="1">
        <w:r w:rsidRPr="00E02075">
          <w:rPr>
            <w:rStyle w:val="Hyperlink"/>
            <w:color w:val="453F43" w:themeColor="background2"/>
            <w:lang w:val="en-GB"/>
          </w:rPr>
          <w:t>https://pubdocs.worldbank.org/en/421301493936349083/pdf/TFSCB-APs-report-Final-version.pdf</w:t>
        </w:r>
      </w:hyperlink>
    </w:p>
  </w:endnote>
  <w:endnote w:id="67">
    <w:p w14:paraId="13BA4C2D" w14:textId="2E9B7AA2" w:rsidR="0025301F" w:rsidRPr="00E02075" w:rsidRDefault="0025301F" w:rsidP="00BB033F">
      <w:pPr>
        <w:pStyle w:val="EndnoteText"/>
        <w:rPr>
          <w:rStyle w:val="Hyperlink"/>
          <w:lang w:val="en-GB"/>
        </w:rPr>
      </w:pPr>
      <w:r>
        <w:rPr>
          <w:rStyle w:val="EndnoteReference"/>
        </w:rPr>
        <w:endnoteRef/>
      </w:r>
      <w:r w:rsidRPr="00E02075">
        <w:rPr>
          <w:lang w:val="en-GB"/>
        </w:rPr>
        <w:t xml:space="preserve"> The World Bank, 2021. Global Data Facility. Available at: </w:t>
      </w:r>
      <w:hyperlink r:id="rId56" w:history="1">
        <w:r w:rsidRPr="00E02075">
          <w:rPr>
            <w:rStyle w:val="Hyperlink"/>
            <w:color w:val="453F43" w:themeColor="background2"/>
            <w:lang w:val="en-GB"/>
          </w:rPr>
          <w:t>https://www.worldbank.org/en/research/brief/global-data-facility</w:t>
        </w:r>
      </w:hyperlink>
    </w:p>
  </w:endnote>
  <w:endnote w:id="68">
    <w:p w14:paraId="36DC55FA" w14:textId="27D29A5C" w:rsidR="0025301F" w:rsidRPr="00E02075" w:rsidRDefault="0025301F" w:rsidP="00BB033F">
      <w:pPr>
        <w:pStyle w:val="EndnoteText"/>
        <w:rPr>
          <w:rStyle w:val="Hyperlink"/>
          <w:lang w:val="en-GB"/>
        </w:rPr>
      </w:pPr>
      <w:r>
        <w:rPr>
          <w:rStyle w:val="EndnoteReference"/>
        </w:rPr>
        <w:endnoteRef/>
      </w:r>
      <w:r w:rsidRPr="00E02075">
        <w:rPr>
          <w:lang w:val="en-GB"/>
        </w:rPr>
        <w:t xml:space="preserve"> Kiel Institute for the World Economy, 2011. Donor coordination and specialization: Did the Paris declaration make a difference? Kiel Working Paper, No. 1748. Available at: </w:t>
      </w:r>
      <w:hyperlink r:id="rId57" w:history="1">
        <w:r w:rsidRPr="00E02075">
          <w:rPr>
            <w:rStyle w:val="Hyperlink"/>
            <w:color w:val="453F43" w:themeColor="background2"/>
            <w:lang w:val="en-GB"/>
          </w:rPr>
          <w:t>https://www.econstor.eu/bitstream/10419/54940/1/680297537.pdf</w:t>
        </w:r>
      </w:hyperlink>
    </w:p>
  </w:endnote>
  <w:endnote w:id="69">
    <w:p w14:paraId="6552C8FE" w14:textId="1127CEA7" w:rsidR="0025301F" w:rsidRPr="00E02075" w:rsidRDefault="0025301F" w:rsidP="00BB033F">
      <w:pPr>
        <w:pStyle w:val="EndnoteText"/>
        <w:rPr>
          <w:rStyle w:val="Hyperlink"/>
          <w:lang w:val="en-GB"/>
        </w:rPr>
      </w:pPr>
      <w:r>
        <w:rPr>
          <w:rStyle w:val="EndnoteReference"/>
        </w:rPr>
        <w:endnoteRef/>
      </w:r>
      <w:r w:rsidRPr="00E02075">
        <w:rPr>
          <w:lang w:val="en-GB"/>
        </w:rPr>
        <w:t xml:space="preserve"> USAID. Policy. Available at: </w:t>
      </w:r>
      <w:hyperlink r:id="rId58" w:history="1">
        <w:r w:rsidRPr="00E02075">
          <w:rPr>
            <w:rStyle w:val="Hyperlink"/>
            <w:color w:val="453F43" w:themeColor="background2"/>
            <w:lang w:val="en-GB"/>
          </w:rPr>
          <w:t>https://www.usaid.gov/results-and-data/planning/policy</w:t>
        </w:r>
      </w:hyperlink>
    </w:p>
  </w:endnote>
  <w:endnote w:id="70">
    <w:p w14:paraId="2ED82592" w14:textId="40C34788" w:rsidR="0025301F" w:rsidRPr="00616BE9" w:rsidRDefault="0025301F" w:rsidP="00BB033F">
      <w:pPr>
        <w:pStyle w:val="EndnoteText"/>
      </w:pPr>
      <w:r>
        <w:rPr>
          <w:rStyle w:val="EndnoteReference"/>
        </w:rPr>
        <w:endnoteRef/>
      </w:r>
      <w:r w:rsidRPr="00E02075">
        <w:rPr>
          <w:lang w:val="en-GB"/>
        </w:rPr>
        <w:t xml:space="preserve"> Gov.uk, 2020. Official Development Assistance: Foreign Secretary's statement, November 2020. </w:t>
      </w:r>
      <w:r w:rsidRPr="00616BE9">
        <w:t>Available at:</w:t>
      </w:r>
    </w:p>
    <w:p w14:paraId="46D13AC5" w14:textId="1D9B62FF" w:rsidR="0025301F" w:rsidRPr="00616BE9" w:rsidRDefault="00793CC3" w:rsidP="00BB033F">
      <w:pPr>
        <w:pStyle w:val="EndnoteText"/>
      </w:pPr>
      <w:hyperlink r:id="rId59" w:history="1">
        <w:r w:rsidR="0025301F" w:rsidRPr="00BB033F">
          <w:rPr>
            <w:rStyle w:val="Hyperlink"/>
            <w:color w:val="453F43" w:themeColor="background2"/>
          </w:rPr>
          <w:t>https://www.gov.uk/government/speeches/official-development-assistance-foreign-secretarys-statement-november-2020</w:t>
        </w:r>
      </w:hyperlink>
    </w:p>
  </w:endnote>
  <w:endnote w:id="71">
    <w:p w14:paraId="0A45DF8C" w14:textId="2906BE9E" w:rsidR="0025301F" w:rsidRPr="00E02075" w:rsidRDefault="0025301F" w:rsidP="00BB033F">
      <w:pPr>
        <w:pStyle w:val="EndnoteText"/>
        <w:rPr>
          <w:color w:val="BA0C2F"/>
          <w:u w:val="single"/>
          <w:lang w:val="en-GB"/>
        </w:rPr>
      </w:pPr>
      <w:r>
        <w:rPr>
          <w:rStyle w:val="EndnoteReference"/>
        </w:rPr>
        <w:endnoteRef/>
      </w:r>
      <w:r w:rsidRPr="00067EC1">
        <w:rPr>
          <w:lang w:val="en-GB"/>
        </w:rPr>
        <w:t xml:space="preserve"> Goodwin E. and Ager A. Localisation in the Context of UK Government Engagement with the Humanitarian Reform Agenda. </w:t>
      </w:r>
      <w:r w:rsidRPr="00E02075">
        <w:rPr>
          <w:lang w:val="en-GB"/>
        </w:rPr>
        <w:t xml:space="preserve">Front Polit Sci, 2021, </w:t>
      </w:r>
      <w:hyperlink r:id="rId60" w:history="1">
        <w:r w:rsidRPr="00E02075">
          <w:rPr>
            <w:rStyle w:val="Hyperlink"/>
            <w:color w:val="453F43" w:themeColor="background2"/>
            <w:lang w:val="en-GB"/>
          </w:rPr>
          <w:t>https://www.frontiersin.org/articles/10.3389/fpos.2021.687063/full</w:t>
        </w:r>
      </w:hyperlink>
      <w:r w:rsidRPr="00E02075">
        <w:rPr>
          <w:rStyle w:val="Hyperlink"/>
          <w:lang w:val="en-GB"/>
        </w:rPr>
        <w:t> </w:t>
      </w:r>
    </w:p>
  </w:endnote>
  <w:endnote w:id="72">
    <w:p w14:paraId="4EFBD8AF" w14:textId="451D6ABE" w:rsidR="0025301F" w:rsidRPr="00E02075" w:rsidRDefault="0025301F" w:rsidP="00BB033F">
      <w:pPr>
        <w:pStyle w:val="EndnoteText"/>
        <w:rPr>
          <w:lang w:val="en-GB"/>
        </w:rPr>
      </w:pPr>
      <w:r>
        <w:rPr>
          <w:rStyle w:val="EndnoteReference"/>
        </w:rPr>
        <w:endnoteRef/>
      </w:r>
      <w:r w:rsidRPr="00E02075">
        <w:rPr>
          <w:lang w:val="en-GB"/>
        </w:rPr>
        <w:t xml:space="preserve"> ONS Partnership Programme with international National Statistics Institutes for the modernisation of official statistics. Development Tracker. Modernisation of official statistics. Available at: </w:t>
      </w:r>
      <w:hyperlink r:id="rId61" w:history="1">
        <w:r w:rsidRPr="00E02075">
          <w:rPr>
            <w:rStyle w:val="Hyperlink"/>
            <w:color w:val="453F43" w:themeColor="background2"/>
            <w:lang w:val="en-GB"/>
          </w:rPr>
          <w:t>https://devtracker.fcdo.gov.uk/projects/GB-GOV-24-001/summary</w:t>
        </w:r>
      </w:hyperlink>
    </w:p>
  </w:endnote>
  <w:endnote w:id="73">
    <w:p w14:paraId="53885D9A" w14:textId="4D9B159D" w:rsidR="0025301F" w:rsidRPr="00E02075" w:rsidRDefault="0025301F" w:rsidP="00BB033F">
      <w:pPr>
        <w:pStyle w:val="EndnoteText"/>
        <w:rPr>
          <w:rFonts w:ascii="Times New Roman" w:hAnsi="Times New Roman"/>
          <w:color w:val="auto"/>
          <w:szCs w:val="24"/>
          <w:lang w:val="en-GB"/>
        </w:rPr>
      </w:pPr>
      <w:r>
        <w:rPr>
          <w:rStyle w:val="EndnoteReference"/>
        </w:rPr>
        <w:endnoteRef/>
      </w:r>
      <w:r w:rsidRPr="00E02075">
        <w:rPr>
          <w:lang w:val="en-GB"/>
        </w:rPr>
        <w:t xml:space="preserve"> Business Case for Office for National Statistics Partnership Programme for the Modernisation of Official Statistics. Available at: </w:t>
      </w:r>
      <w:hyperlink r:id="rId62" w:history="1">
        <w:r w:rsidRPr="00E02075">
          <w:rPr>
            <w:rStyle w:val="Hyperlink"/>
            <w:color w:val="453F43" w:themeColor="background2"/>
            <w:lang w:val="en-GB"/>
          </w:rPr>
          <w:t>https://devflow.northeurope.cloudapp.azure.com/files/documents/ONS-Modernisation-of-Official-Statistics_Business-Case--20210519010546.docx</w:t>
        </w:r>
      </w:hyperlink>
      <w:r w:rsidRPr="00E02075">
        <w:rPr>
          <w:color w:val="000000"/>
          <w:lang w:val="en-GB"/>
        </w:rPr>
        <w:t xml:space="preserve"> </w:t>
      </w:r>
      <w:r w:rsidRPr="00E02075">
        <w:rPr>
          <w:lang w:val="en-GB"/>
        </w:rPr>
        <w:t>(Note: HMG = Her Majesty’s Government)</w:t>
      </w:r>
    </w:p>
  </w:endnote>
  <w:endnote w:id="74">
    <w:p w14:paraId="1D11BDD6" w14:textId="4E6C5D8B" w:rsidR="0025301F" w:rsidRPr="00E02075" w:rsidRDefault="0025301F" w:rsidP="00BB033F">
      <w:pPr>
        <w:pStyle w:val="EndnoteText"/>
        <w:rPr>
          <w:lang w:val="en-GB"/>
        </w:rPr>
      </w:pPr>
      <w:r>
        <w:rPr>
          <w:rStyle w:val="EndnoteReference"/>
        </w:rPr>
        <w:endnoteRef/>
      </w:r>
      <w:r w:rsidRPr="00E02075">
        <w:rPr>
          <w:lang w:val="en-GB"/>
        </w:rPr>
        <w:t xml:space="preserve"> </w:t>
      </w:r>
      <w:hyperlink r:id="rId63" w:history="1">
        <w:r w:rsidRPr="00E02075">
          <w:rPr>
            <w:rStyle w:val="Hyperlink"/>
            <w:color w:val="453F43" w:themeColor="background2"/>
            <w:lang w:val="en-GB"/>
          </w:rPr>
          <w:t>https://openknowledge.worldbank.org/handle/10986/16093</w:t>
        </w:r>
      </w:hyperlink>
    </w:p>
  </w:endnote>
  <w:endnote w:id="75">
    <w:p w14:paraId="4AED9402" w14:textId="23275BF9" w:rsidR="0025301F" w:rsidRPr="00E02075" w:rsidRDefault="0025301F" w:rsidP="00BB033F">
      <w:pPr>
        <w:pStyle w:val="EndnoteText"/>
        <w:rPr>
          <w:lang w:val="en-GB"/>
        </w:rPr>
      </w:pPr>
      <w:r>
        <w:rPr>
          <w:rStyle w:val="EndnoteReference"/>
        </w:rPr>
        <w:endnoteRef/>
      </w:r>
      <w:r w:rsidRPr="00E02075">
        <w:rPr>
          <w:lang w:val="en-GB"/>
        </w:rPr>
        <w:t xml:space="preserve"> During a meeting in Kinshasa attended by the author a major donor exited without comment following questions around delays in data delivery from the manager of the aid information management system.</w:t>
      </w:r>
    </w:p>
  </w:endnote>
  <w:endnote w:id="76">
    <w:p w14:paraId="1FEC9A1B" w14:textId="502C466D" w:rsidR="0025301F" w:rsidRPr="00E02075" w:rsidRDefault="0025301F" w:rsidP="00BB033F">
      <w:pPr>
        <w:pStyle w:val="EndnoteText"/>
        <w:rPr>
          <w:lang w:val="en-GB"/>
        </w:rPr>
      </w:pPr>
      <w:r>
        <w:rPr>
          <w:rStyle w:val="EndnoteReference"/>
        </w:rPr>
        <w:endnoteRef/>
      </w:r>
      <w:r w:rsidRPr="00E02075">
        <w:rPr>
          <w:lang w:val="en-GB"/>
        </w:rPr>
        <w:t xml:space="preserve"> Center for Global Development, 2014. Delivering on a Data Revolution in Sub-Saharan Africa. Available at: </w:t>
      </w:r>
      <w:hyperlink r:id="rId64" w:history="1">
        <w:r w:rsidRPr="00E02075">
          <w:rPr>
            <w:rStyle w:val="Hyperlink"/>
            <w:color w:val="453F43" w:themeColor="background2"/>
            <w:lang w:val="en-GB"/>
          </w:rPr>
          <w:t>https://www.cgdev.org/publication/ft/delivering-data-revolution-sub-saharan-africa</w:t>
        </w:r>
      </w:hyperlink>
    </w:p>
  </w:endnote>
  <w:endnote w:id="77">
    <w:p w14:paraId="16035920" w14:textId="188D6015" w:rsidR="0025301F" w:rsidRPr="00E02075" w:rsidRDefault="0025301F" w:rsidP="00BB033F">
      <w:pPr>
        <w:pStyle w:val="EndnoteText"/>
        <w:rPr>
          <w:lang w:val="en-GB"/>
        </w:rPr>
      </w:pPr>
      <w:r>
        <w:rPr>
          <w:rStyle w:val="EndnoteReference"/>
        </w:rPr>
        <w:endnoteRef/>
      </w:r>
      <w:r w:rsidRPr="00E02075">
        <w:rPr>
          <w:lang w:val="en-GB"/>
        </w:rPr>
        <w:t xml:space="preserve"> </w:t>
      </w:r>
      <w:r w:rsidRPr="00E02075">
        <w:rPr>
          <w:rStyle w:val="EndnoteTextChar"/>
          <w:lang w:val="en-GB"/>
        </w:rPr>
        <w:t>Expert Working Group on Global Public Investment. Global Public Investment:</w:t>
      </w:r>
      <w:r w:rsidRPr="00E02075">
        <w:rPr>
          <w:rStyle w:val="EndnoteTextChar"/>
          <w:lang w:val="en-GB"/>
        </w:rPr>
        <w:br/>
        <w:t xml:space="preserve">a Transformation in International Cooperation. Available at: </w:t>
      </w:r>
      <w:hyperlink r:id="rId65" w:history="1">
        <w:r w:rsidRPr="00E02075">
          <w:rPr>
            <w:rStyle w:val="Hyperlink"/>
            <w:color w:val="453F43" w:themeColor="background2"/>
            <w:lang w:val="en-GB"/>
          </w:rPr>
          <w:t>https://globalpublicinvestment.org/</w:t>
        </w:r>
      </w:hyperlink>
    </w:p>
  </w:endnote>
  <w:endnote w:id="78">
    <w:p w14:paraId="33A0BDB6" w14:textId="3250E818" w:rsidR="0025301F" w:rsidRDefault="0025301F" w:rsidP="00BB033F">
      <w:pPr>
        <w:pStyle w:val="EndnoteText"/>
      </w:pPr>
      <w:r>
        <w:rPr>
          <w:rStyle w:val="EndnoteReference"/>
        </w:rPr>
        <w:endnoteRef/>
      </w:r>
      <w:r w:rsidRPr="00E02075">
        <w:rPr>
          <w:lang w:val="en-GB"/>
        </w:rPr>
        <w:t xml:space="preserve"> Glennie J. The Future of Aid: Global Public Investment. </w:t>
      </w:r>
      <w:r w:rsidRPr="00CD3743">
        <w:t>Routledge,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heme Body)">
    <w:altName w:val="Arial"/>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3D36" w14:textId="2E6A41D3" w:rsidR="0025301F" w:rsidRPr="00387F70" w:rsidRDefault="00793CC3" w:rsidP="00387F70">
    <w:pPr>
      <w:spacing w:line="293" w:lineRule="auto"/>
      <w:ind w:right="357"/>
      <w:rPr>
        <w:rFonts w:cs="Arial"/>
        <w:color w:val="6B656A"/>
        <w:sz w:val="18"/>
      </w:rPr>
    </w:pPr>
    <w:sdt>
      <w:sdtPr>
        <w:rPr>
          <w:rFonts w:cs="Arial"/>
          <w:color w:val="6B656A"/>
          <w:sz w:val="18"/>
        </w:rPr>
        <w:alias w:val="Title"/>
        <w:tag w:val=""/>
        <w:id w:val="-2082364684"/>
        <w:placeholder>
          <w:docPart w:val="61F9E4EA3C3A4D639E09CADB23C73F34"/>
        </w:placeholder>
        <w:dataBinding w:prefixMappings="xmlns:ns0='http://purl.org/dc/elements/1.1/' xmlns:ns1='http://schemas.openxmlformats.org/package/2006/metadata/core-properties' " w:xpath="/ns1:coreProperties[1]/ns0:title[1]" w:storeItemID="{6C3C8BC8-F283-45AE-878A-BAB7291924A1}"/>
        <w:text/>
      </w:sdtPr>
      <w:sdtEndPr/>
      <w:sdtContent>
        <w:r w:rsidR="0025301F">
          <w:rPr>
            <w:rFonts w:cs="Arial"/>
            <w:color w:val="6B656A"/>
            <w:sz w:val="18"/>
          </w:rPr>
          <w:t>Data disharmony: How can donors better act on their commitments?</w:t>
        </w:r>
      </w:sdtContent>
    </w:sdt>
    <w:r w:rsidR="0025301F" w:rsidRPr="00BF1D83">
      <w:rPr>
        <w:rFonts w:cs="Arial"/>
        <w:color w:val="6B656A"/>
        <w:sz w:val="18"/>
      </w:rPr>
      <w:t> </w:t>
    </w:r>
    <w:r w:rsidR="0025301F">
      <w:rPr>
        <w:rFonts w:cs="Arial"/>
        <w:color w:val="6B656A"/>
        <w:sz w:val="18"/>
      </w:rPr>
      <w:t xml:space="preserve"> </w:t>
    </w:r>
    <w:r w:rsidR="0025301F" w:rsidRPr="00BF1D83">
      <w:rPr>
        <w:rFonts w:cs="Arial"/>
        <w:color w:val="6B656A"/>
        <w:sz w:val="18"/>
      </w:rPr>
      <w:t>/</w:t>
    </w:r>
    <w:r w:rsidR="0025301F" w:rsidRPr="00BF1D83">
      <w:rPr>
        <w:rFonts w:cs="Arial"/>
        <w:color w:val="6B656A"/>
        <w:sz w:val="18"/>
      </w:rPr>
      <w:t> </w:t>
    </w:r>
    <w:r w:rsidR="0025301F">
      <w:rPr>
        <w:rFonts w:cs="Arial"/>
        <w:color w:val="6B656A"/>
        <w:sz w:val="18"/>
      </w:rPr>
      <w:t xml:space="preserve"> </w:t>
    </w:r>
    <w:r w:rsidR="0025301F" w:rsidRPr="00BF1D83">
      <w:rPr>
        <w:rFonts w:cs="Arial"/>
        <w:color w:val="6B656A"/>
        <w:sz w:val="18"/>
      </w:rPr>
      <w:t>devinit.org</w:t>
    </w:r>
    <w:r w:rsidR="0025301F">
      <w:rPr>
        <w:rFonts w:cs="Arial"/>
        <w:color w:val="6B656A"/>
        <w:sz w:val="18"/>
      </w:rPr>
      <w:tab/>
    </w:r>
    <w:r w:rsidR="0025301F" w:rsidRPr="00387F70">
      <w:rPr>
        <w:rFonts w:cs="Arial"/>
        <w:color w:val="6B656A"/>
        <w:sz w:val="18"/>
      </w:rPr>
      <w:fldChar w:fldCharType="begin"/>
    </w:r>
    <w:r w:rsidR="0025301F" w:rsidRPr="00387F70">
      <w:rPr>
        <w:rFonts w:cs="Arial"/>
        <w:color w:val="6B656A"/>
        <w:sz w:val="18"/>
      </w:rPr>
      <w:instrText xml:space="preserve"> PAGE   \* MERGEFORMAT </w:instrText>
    </w:r>
    <w:r w:rsidR="0025301F" w:rsidRPr="00387F70">
      <w:rPr>
        <w:rFonts w:cs="Arial"/>
        <w:color w:val="6B656A"/>
        <w:sz w:val="18"/>
      </w:rPr>
      <w:fldChar w:fldCharType="separate"/>
    </w:r>
    <w:r w:rsidR="0025301F">
      <w:rPr>
        <w:rFonts w:cs="Arial"/>
        <w:noProof/>
        <w:color w:val="6B656A"/>
        <w:sz w:val="18"/>
      </w:rPr>
      <w:t>19</w:t>
    </w:r>
    <w:r w:rsidR="0025301F" w:rsidRPr="00387F70">
      <w:rPr>
        <w:rFonts w:cs="Arial"/>
        <w:noProof/>
        <w:color w:val="6B656A"/>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6AFFF" w14:textId="77777777" w:rsidR="0025301F" w:rsidRDefault="0025301F" w:rsidP="00584375">
      <w:pPr>
        <w:spacing w:before="0" w:line="240" w:lineRule="auto"/>
      </w:pPr>
      <w:r>
        <w:separator/>
      </w:r>
    </w:p>
  </w:footnote>
  <w:footnote w:type="continuationSeparator" w:id="0">
    <w:p w14:paraId="40334DE3" w14:textId="77777777" w:rsidR="0025301F" w:rsidRDefault="0025301F" w:rsidP="00584375">
      <w:pPr>
        <w:spacing w:before="0" w:line="240" w:lineRule="auto"/>
      </w:pPr>
      <w:r>
        <w:continuationSeparator/>
      </w:r>
    </w:p>
  </w:footnote>
  <w:footnote w:type="continuationNotice" w:id="1">
    <w:p w14:paraId="2D950198" w14:textId="77777777" w:rsidR="0025301F" w:rsidRDefault="002530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9AA6" w14:textId="3B5063DA" w:rsidR="0025301F" w:rsidRDefault="0025301F">
    <w:pPr>
      <w:pStyle w:val="Header"/>
    </w:pPr>
    <w:r>
      <w:rPr>
        <w:noProof/>
        <w:lang w:eastAsia="en-GB"/>
      </w:rPr>
      <w:drawing>
        <wp:anchor distT="0" distB="0" distL="114300" distR="114300" simplePos="0" relativeHeight="251659264" behindDoc="1" locked="0" layoutInCell="1" allowOverlap="1" wp14:anchorId="16136376" wp14:editId="24CA6BEB">
          <wp:simplePos x="0" y="0"/>
          <wp:positionH relativeFrom="page">
            <wp:posOffset>-95250</wp:posOffset>
          </wp:positionH>
          <wp:positionV relativeFrom="paragraph">
            <wp:posOffset>-450215</wp:posOffset>
          </wp:positionV>
          <wp:extent cx="7659961" cy="1076579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Cover_Blue.jpg"/>
                  <pic:cNvPicPr/>
                </pic:nvPicPr>
                <pic:blipFill>
                  <a:blip r:embed="rId1"/>
                  <a:stretch>
                    <a:fillRect/>
                  </a:stretch>
                </pic:blipFill>
                <pic:spPr>
                  <a:xfrm>
                    <a:off x="0" y="0"/>
                    <a:ext cx="7662631" cy="10769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1674" w14:textId="3A9FB945" w:rsidR="0025301F" w:rsidRDefault="00253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942667C"/>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25FA4542"/>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CBCE20F6"/>
    <w:lvl w:ilvl="0">
      <w:start w:val="1"/>
      <w:numFmt w:val="lowerLetter"/>
      <w:pStyle w:val="ListNumber2"/>
      <w:lvlText w:val="%1."/>
      <w:lvlJc w:val="left"/>
      <w:pPr>
        <w:ind w:left="643" w:hanging="360"/>
      </w:pPr>
      <w:rPr>
        <w:rFonts w:hint="default"/>
      </w:rPr>
    </w:lvl>
  </w:abstractNum>
  <w:abstractNum w:abstractNumId="3" w15:restartNumberingAfterBreak="0">
    <w:nsid w:val="FFFFFF80"/>
    <w:multiLevelType w:val="singleLevel"/>
    <w:tmpl w:val="68FC0F5E"/>
    <w:lvl w:ilvl="0">
      <w:start w:val="1"/>
      <w:numFmt w:val="bullet"/>
      <w:pStyle w:val="ListBullet5"/>
      <w:lvlText w:val=""/>
      <w:lvlJc w:val="left"/>
      <w:pPr>
        <w:ind w:left="1492" w:hanging="360"/>
      </w:pPr>
      <w:rPr>
        <w:rFonts w:ascii="Symbol" w:hAnsi="Symbol" w:hint="default"/>
        <w:b w:val="0"/>
        <w:i w:val="0"/>
      </w:rPr>
    </w:lvl>
  </w:abstractNum>
  <w:abstractNum w:abstractNumId="4" w15:restartNumberingAfterBreak="0">
    <w:nsid w:val="FFFFFF81"/>
    <w:multiLevelType w:val="singleLevel"/>
    <w:tmpl w:val="CF2206B8"/>
    <w:lvl w:ilvl="0">
      <w:start w:val="1"/>
      <w:numFmt w:val="bullet"/>
      <w:pStyle w:val="ListBullet4"/>
      <w:lvlText w:val="–"/>
      <w:lvlJc w:val="left"/>
      <w:pPr>
        <w:tabs>
          <w:tab w:val="num" w:pos="1209"/>
        </w:tabs>
        <w:ind w:left="1209" w:hanging="360"/>
      </w:pPr>
      <w:rPr>
        <w:rFonts w:ascii="Arial (Theme Body)" w:hAnsi="Arial (Theme Body)" w:hint="default"/>
        <w:b w:val="0"/>
        <w:i w:val="0"/>
      </w:rPr>
    </w:lvl>
  </w:abstractNum>
  <w:abstractNum w:abstractNumId="5" w15:restartNumberingAfterBreak="0">
    <w:nsid w:val="FFFFFF82"/>
    <w:multiLevelType w:val="singleLevel"/>
    <w:tmpl w:val="A37438B2"/>
    <w:lvl w:ilvl="0">
      <w:start w:val="1"/>
      <w:numFmt w:val="bullet"/>
      <w:pStyle w:val="ListBullet3"/>
      <w:lvlText w:val=""/>
      <w:lvlJc w:val="left"/>
      <w:pPr>
        <w:ind w:left="1018" w:hanging="360"/>
      </w:pPr>
      <w:rPr>
        <w:rFonts w:ascii="Symbol" w:hAnsi="Symbol" w:hint="default"/>
        <w:b w:val="0"/>
        <w:i w:val="0"/>
      </w:rPr>
    </w:lvl>
  </w:abstractNum>
  <w:abstractNum w:abstractNumId="6" w15:restartNumberingAfterBreak="0">
    <w:nsid w:val="FFFFFF83"/>
    <w:multiLevelType w:val="singleLevel"/>
    <w:tmpl w:val="2892ADEE"/>
    <w:lvl w:ilvl="0">
      <w:start w:val="1"/>
      <w:numFmt w:val="bullet"/>
      <w:pStyle w:val="ListBullet2"/>
      <w:lvlText w:val="–"/>
      <w:lvlJc w:val="left"/>
      <w:pPr>
        <w:ind w:left="643" w:hanging="360"/>
      </w:pPr>
      <w:rPr>
        <w:rFonts w:ascii="Calibri" w:hAnsi="Calibri" w:hint="default"/>
      </w:rPr>
    </w:lvl>
  </w:abstractNum>
  <w:abstractNum w:abstractNumId="7" w15:restartNumberingAfterBreak="0">
    <w:nsid w:val="FFFFFF88"/>
    <w:multiLevelType w:val="singleLevel"/>
    <w:tmpl w:val="D31A1D7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312F1A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CF57CD"/>
    <w:multiLevelType w:val="hybridMultilevel"/>
    <w:tmpl w:val="0D7A6B5A"/>
    <w:lvl w:ilvl="0" w:tplc="C3C8561E">
      <w:start w:val="1"/>
      <w:numFmt w:val="decimal"/>
      <w:pStyle w:val="Long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566AC1"/>
    <w:multiLevelType w:val="hybridMultilevel"/>
    <w:tmpl w:val="3DDED3D2"/>
    <w:lvl w:ilvl="0" w:tplc="9C3C1F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1578F"/>
    <w:multiLevelType w:val="hybridMultilevel"/>
    <w:tmpl w:val="B6FA05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723D5E"/>
    <w:multiLevelType w:val="multilevel"/>
    <w:tmpl w:val="ED4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133CA5"/>
    <w:multiLevelType w:val="hybridMultilevel"/>
    <w:tmpl w:val="880E22B2"/>
    <w:lvl w:ilvl="0" w:tplc="78FE3B50">
      <w:start w:val="1"/>
      <w:numFmt w:val="decimal"/>
      <w:pStyle w:val="ListParagraphnumber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4" w15:restartNumberingAfterBreak="0">
    <w:nsid w:val="50064463"/>
    <w:multiLevelType w:val="multilevel"/>
    <w:tmpl w:val="928C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E825EE"/>
    <w:multiLevelType w:val="hybridMultilevel"/>
    <w:tmpl w:val="C03C3D2C"/>
    <w:lvl w:ilvl="0" w:tplc="4C8E3302">
      <w:start w:val="1"/>
      <w:numFmt w:val="bullet"/>
      <w:pStyle w:val="List4bullet"/>
      <w:lvlText w:val="–"/>
      <w:lvlJc w:val="left"/>
      <w:pPr>
        <w:ind w:left="1378" w:hanging="360"/>
      </w:pPr>
      <w:rPr>
        <w:rFonts w:ascii="Calibri" w:hAnsi="Calibri" w:hint="default"/>
      </w:rPr>
    </w:lvl>
    <w:lvl w:ilvl="1" w:tplc="08090003">
      <w:start w:val="1"/>
      <w:numFmt w:val="bullet"/>
      <w:lvlText w:val="o"/>
      <w:lvlJc w:val="left"/>
      <w:pPr>
        <w:ind w:left="2098" w:hanging="360"/>
      </w:pPr>
      <w:rPr>
        <w:rFonts w:ascii="Courier New" w:hAnsi="Courier New" w:cs="Courier New" w:hint="default"/>
      </w:rPr>
    </w:lvl>
    <w:lvl w:ilvl="2" w:tplc="08090005">
      <w:start w:val="1"/>
      <w:numFmt w:val="bullet"/>
      <w:lvlText w:val=""/>
      <w:lvlJc w:val="left"/>
      <w:pPr>
        <w:ind w:left="2818" w:hanging="360"/>
      </w:pPr>
      <w:rPr>
        <w:rFonts w:ascii="Wingdings" w:hAnsi="Wingdings" w:hint="default"/>
      </w:rPr>
    </w:lvl>
    <w:lvl w:ilvl="3" w:tplc="08090001" w:tentative="1">
      <w:start w:val="1"/>
      <w:numFmt w:val="bullet"/>
      <w:lvlText w:val=""/>
      <w:lvlJc w:val="left"/>
      <w:pPr>
        <w:ind w:left="3538" w:hanging="360"/>
      </w:pPr>
      <w:rPr>
        <w:rFonts w:ascii="Symbol" w:hAnsi="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hint="default"/>
      </w:rPr>
    </w:lvl>
    <w:lvl w:ilvl="6" w:tplc="08090001" w:tentative="1">
      <w:start w:val="1"/>
      <w:numFmt w:val="bullet"/>
      <w:lvlText w:val=""/>
      <w:lvlJc w:val="left"/>
      <w:pPr>
        <w:ind w:left="5698" w:hanging="360"/>
      </w:pPr>
      <w:rPr>
        <w:rFonts w:ascii="Symbol" w:hAnsi="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hint="default"/>
      </w:rPr>
    </w:lvl>
  </w:abstractNum>
  <w:abstractNum w:abstractNumId="16" w15:restartNumberingAfterBreak="0">
    <w:nsid w:val="689447ED"/>
    <w:multiLevelType w:val="hybridMultilevel"/>
    <w:tmpl w:val="57EEC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DA3389"/>
    <w:multiLevelType w:val="hybridMultilevel"/>
    <w:tmpl w:val="8AC66F8C"/>
    <w:lvl w:ilvl="0" w:tplc="CE308BBA">
      <w:start w:val="1"/>
      <w:numFmt w:val="bullet"/>
      <w:pStyle w:val="Tabletextwith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A5DDF"/>
    <w:multiLevelType w:val="hybridMultilevel"/>
    <w:tmpl w:val="B5A62262"/>
    <w:lvl w:ilvl="0" w:tplc="5CB0685A">
      <w:start w:val="1"/>
      <w:numFmt w:val="bullet"/>
      <w:pStyle w:val="ListParagraph"/>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num w:numId="1">
    <w:abstractNumId w:val="8"/>
  </w:num>
  <w:num w:numId="2">
    <w:abstractNumId w:val="8"/>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3"/>
  </w:num>
  <w:num w:numId="12">
    <w:abstractNumId w:val="3"/>
  </w:num>
  <w:num w:numId="13">
    <w:abstractNumId w:val="2"/>
  </w:num>
  <w:num w:numId="14">
    <w:abstractNumId w:val="2"/>
  </w:num>
  <w:num w:numId="15">
    <w:abstractNumId w:val="9"/>
  </w:num>
  <w:num w:numId="16">
    <w:abstractNumId w:val="8"/>
  </w:num>
  <w:num w:numId="17">
    <w:abstractNumId w:val="15"/>
  </w:num>
  <w:num w:numId="18">
    <w:abstractNumId w:val="18"/>
  </w:num>
  <w:num w:numId="19">
    <w:abstractNumId w:val="13"/>
  </w:num>
  <w:num w:numId="20">
    <w:abstractNumId w:val="17"/>
  </w:num>
  <w:num w:numId="21">
    <w:abstractNumId w:val="18"/>
  </w:num>
  <w:num w:numId="22">
    <w:abstractNumId w:val="13"/>
  </w:num>
  <w:num w:numId="23">
    <w:abstractNumId w:val="17"/>
  </w:num>
  <w:num w:numId="24">
    <w:abstractNumId w:val="18"/>
  </w:num>
  <w:num w:numId="25">
    <w:abstractNumId w:val="13"/>
  </w:num>
  <w:num w:numId="26">
    <w:abstractNumId w:val="17"/>
  </w:num>
  <w:num w:numId="27">
    <w:abstractNumId w:val="1"/>
  </w:num>
  <w:num w:numId="28">
    <w:abstractNumId w:val="0"/>
  </w:num>
  <w:num w:numId="29">
    <w:abstractNumId w:val="8"/>
    <w:lvlOverride w:ilvl="0">
      <w:startOverride w:val="1"/>
    </w:lvlOverride>
  </w:num>
  <w:num w:numId="30">
    <w:abstractNumId w:val="10"/>
  </w:num>
  <w:num w:numId="31">
    <w:abstractNumId w:val="12"/>
  </w:num>
  <w:num w:numId="32">
    <w:abstractNumId w:val="14"/>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SortMethod w:val="0000"/>
  <w:defaultTabStop w:val="720"/>
  <w:characterSpacingControl w:val="doNotCompress"/>
  <w:hdrShapeDefaults>
    <o:shapedefaults v:ext="edit" spidmax="1433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CCF"/>
    <w:rsid w:val="00000AEB"/>
    <w:rsid w:val="000034E6"/>
    <w:rsid w:val="00022812"/>
    <w:rsid w:val="000334A1"/>
    <w:rsid w:val="00036014"/>
    <w:rsid w:val="00044EF4"/>
    <w:rsid w:val="00053053"/>
    <w:rsid w:val="00055ABC"/>
    <w:rsid w:val="00065D10"/>
    <w:rsid w:val="00067EC1"/>
    <w:rsid w:val="00077F9A"/>
    <w:rsid w:val="00081AF7"/>
    <w:rsid w:val="00085497"/>
    <w:rsid w:val="000A1686"/>
    <w:rsid w:val="000A4CD2"/>
    <w:rsid w:val="000A6E2F"/>
    <w:rsid w:val="000A76FE"/>
    <w:rsid w:val="000B088D"/>
    <w:rsid w:val="000B6373"/>
    <w:rsid w:val="000D3CB7"/>
    <w:rsid w:val="000D4B28"/>
    <w:rsid w:val="000D4D97"/>
    <w:rsid w:val="000D4DED"/>
    <w:rsid w:val="000D7B19"/>
    <w:rsid w:val="000E274F"/>
    <w:rsid w:val="000F2C22"/>
    <w:rsid w:val="000F6A05"/>
    <w:rsid w:val="001003E0"/>
    <w:rsid w:val="00101EC9"/>
    <w:rsid w:val="00102D01"/>
    <w:rsid w:val="001032DC"/>
    <w:rsid w:val="001113DC"/>
    <w:rsid w:val="00120B59"/>
    <w:rsid w:val="001216A4"/>
    <w:rsid w:val="00127D68"/>
    <w:rsid w:val="00137770"/>
    <w:rsid w:val="001425D9"/>
    <w:rsid w:val="00146855"/>
    <w:rsid w:val="00147846"/>
    <w:rsid w:val="001576D9"/>
    <w:rsid w:val="00173418"/>
    <w:rsid w:val="00184891"/>
    <w:rsid w:val="00184F81"/>
    <w:rsid w:val="00185E72"/>
    <w:rsid w:val="00187E19"/>
    <w:rsid w:val="00190924"/>
    <w:rsid w:val="00191537"/>
    <w:rsid w:val="00194F95"/>
    <w:rsid w:val="001A29DC"/>
    <w:rsid w:val="001B6C1C"/>
    <w:rsid w:val="001B741F"/>
    <w:rsid w:val="001C1575"/>
    <w:rsid w:val="001C7579"/>
    <w:rsid w:val="001D0CF3"/>
    <w:rsid w:val="001D22F4"/>
    <w:rsid w:val="001D2736"/>
    <w:rsid w:val="001D37CB"/>
    <w:rsid w:val="001D6895"/>
    <w:rsid w:val="001F0161"/>
    <w:rsid w:val="001F08ED"/>
    <w:rsid w:val="001F2486"/>
    <w:rsid w:val="001F4882"/>
    <w:rsid w:val="002014FE"/>
    <w:rsid w:val="00204379"/>
    <w:rsid w:val="00204734"/>
    <w:rsid w:val="00212B49"/>
    <w:rsid w:val="00232E67"/>
    <w:rsid w:val="00232F5E"/>
    <w:rsid w:val="0023492E"/>
    <w:rsid w:val="00234C46"/>
    <w:rsid w:val="002356CB"/>
    <w:rsid w:val="00236CCF"/>
    <w:rsid w:val="00240807"/>
    <w:rsid w:val="0025301F"/>
    <w:rsid w:val="00256859"/>
    <w:rsid w:val="00276632"/>
    <w:rsid w:val="0028749D"/>
    <w:rsid w:val="002956E3"/>
    <w:rsid w:val="002B5565"/>
    <w:rsid w:val="002B5FDD"/>
    <w:rsid w:val="002D0CF3"/>
    <w:rsid w:val="002D44F5"/>
    <w:rsid w:val="002E08E9"/>
    <w:rsid w:val="002E0C4D"/>
    <w:rsid w:val="002E75CB"/>
    <w:rsid w:val="002E7D43"/>
    <w:rsid w:val="002F3255"/>
    <w:rsid w:val="002F5177"/>
    <w:rsid w:val="00315ACE"/>
    <w:rsid w:val="00316878"/>
    <w:rsid w:val="00322CC7"/>
    <w:rsid w:val="00324031"/>
    <w:rsid w:val="00324093"/>
    <w:rsid w:val="00326CFA"/>
    <w:rsid w:val="00332847"/>
    <w:rsid w:val="00336539"/>
    <w:rsid w:val="00337357"/>
    <w:rsid w:val="00337752"/>
    <w:rsid w:val="0033775C"/>
    <w:rsid w:val="0034006C"/>
    <w:rsid w:val="00361F8C"/>
    <w:rsid w:val="00362578"/>
    <w:rsid w:val="00362734"/>
    <w:rsid w:val="00363099"/>
    <w:rsid w:val="0037183E"/>
    <w:rsid w:val="00384642"/>
    <w:rsid w:val="00384FAA"/>
    <w:rsid w:val="00385831"/>
    <w:rsid w:val="00387DCE"/>
    <w:rsid w:val="00387F70"/>
    <w:rsid w:val="00394858"/>
    <w:rsid w:val="003967E6"/>
    <w:rsid w:val="003A03F5"/>
    <w:rsid w:val="003A7530"/>
    <w:rsid w:val="003B2140"/>
    <w:rsid w:val="003B632F"/>
    <w:rsid w:val="003C43C5"/>
    <w:rsid w:val="003C5924"/>
    <w:rsid w:val="003C790A"/>
    <w:rsid w:val="003D19AC"/>
    <w:rsid w:val="003D39D8"/>
    <w:rsid w:val="003E0A95"/>
    <w:rsid w:val="003F1007"/>
    <w:rsid w:val="003F1A2E"/>
    <w:rsid w:val="003F47AC"/>
    <w:rsid w:val="003F7523"/>
    <w:rsid w:val="00402B1E"/>
    <w:rsid w:val="00414C87"/>
    <w:rsid w:val="00416213"/>
    <w:rsid w:val="0041622E"/>
    <w:rsid w:val="00421BAD"/>
    <w:rsid w:val="00422C28"/>
    <w:rsid w:val="00424362"/>
    <w:rsid w:val="00427C43"/>
    <w:rsid w:val="00430A2B"/>
    <w:rsid w:val="00436AE1"/>
    <w:rsid w:val="0044066C"/>
    <w:rsid w:val="0044359C"/>
    <w:rsid w:val="004442DF"/>
    <w:rsid w:val="00446078"/>
    <w:rsid w:val="004469F2"/>
    <w:rsid w:val="0045351C"/>
    <w:rsid w:val="00453C4E"/>
    <w:rsid w:val="0048044E"/>
    <w:rsid w:val="00480C20"/>
    <w:rsid w:val="00481939"/>
    <w:rsid w:val="00494FD2"/>
    <w:rsid w:val="00497B29"/>
    <w:rsid w:val="004A3D7B"/>
    <w:rsid w:val="004A5A94"/>
    <w:rsid w:val="004A63E0"/>
    <w:rsid w:val="004B3954"/>
    <w:rsid w:val="004C2E55"/>
    <w:rsid w:val="004C31B9"/>
    <w:rsid w:val="004C4E47"/>
    <w:rsid w:val="004E12C8"/>
    <w:rsid w:val="004E1773"/>
    <w:rsid w:val="004E1D2D"/>
    <w:rsid w:val="004F31A3"/>
    <w:rsid w:val="004F56F5"/>
    <w:rsid w:val="004F5885"/>
    <w:rsid w:val="004F6447"/>
    <w:rsid w:val="005018CA"/>
    <w:rsid w:val="005103C5"/>
    <w:rsid w:val="005107D9"/>
    <w:rsid w:val="00513E32"/>
    <w:rsid w:val="00516E20"/>
    <w:rsid w:val="00527F59"/>
    <w:rsid w:val="00541D83"/>
    <w:rsid w:val="005440AF"/>
    <w:rsid w:val="00545A30"/>
    <w:rsid w:val="0055143A"/>
    <w:rsid w:val="00552B81"/>
    <w:rsid w:val="00554F12"/>
    <w:rsid w:val="00556B9B"/>
    <w:rsid w:val="005570AC"/>
    <w:rsid w:val="00557412"/>
    <w:rsid w:val="005621B5"/>
    <w:rsid w:val="00562C1C"/>
    <w:rsid w:val="00563B06"/>
    <w:rsid w:val="00566457"/>
    <w:rsid w:val="005668E4"/>
    <w:rsid w:val="00567AD3"/>
    <w:rsid w:val="005729B2"/>
    <w:rsid w:val="00582C7D"/>
    <w:rsid w:val="00584074"/>
    <w:rsid w:val="00584375"/>
    <w:rsid w:val="005931C5"/>
    <w:rsid w:val="005934F7"/>
    <w:rsid w:val="00595278"/>
    <w:rsid w:val="005A01B8"/>
    <w:rsid w:val="005B3CAB"/>
    <w:rsid w:val="005C0691"/>
    <w:rsid w:val="005C257E"/>
    <w:rsid w:val="005D79B8"/>
    <w:rsid w:val="005E6DD6"/>
    <w:rsid w:val="005F0BEB"/>
    <w:rsid w:val="005F3164"/>
    <w:rsid w:val="005F4563"/>
    <w:rsid w:val="005F6195"/>
    <w:rsid w:val="005F71A6"/>
    <w:rsid w:val="0060462F"/>
    <w:rsid w:val="00610794"/>
    <w:rsid w:val="006108CA"/>
    <w:rsid w:val="00616BE9"/>
    <w:rsid w:val="006235F3"/>
    <w:rsid w:val="00627489"/>
    <w:rsid w:val="00632F48"/>
    <w:rsid w:val="00633B89"/>
    <w:rsid w:val="0064026C"/>
    <w:rsid w:val="00640BAF"/>
    <w:rsid w:val="00651082"/>
    <w:rsid w:val="0065494C"/>
    <w:rsid w:val="00664210"/>
    <w:rsid w:val="00671CD7"/>
    <w:rsid w:val="0068302D"/>
    <w:rsid w:val="006835AB"/>
    <w:rsid w:val="00687577"/>
    <w:rsid w:val="00697953"/>
    <w:rsid w:val="006A16BE"/>
    <w:rsid w:val="006A626F"/>
    <w:rsid w:val="006C3179"/>
    <w:rsid w:val="006F0601"/>
    <w:rsid w:val="006F43E1"/>
    <w:rsid w:val="006F714C"/>
    <w:rsid w:val="00705AD6"/>
    <w:rsid w:val="00715296"/>
    <w:rsid w:val="007165F3"/>
    <w:rsid w:val="00716CE1"/>
    <w:rsid w:val="00717128"/>
    <w:rsid w:val="00722BF1"/>
    <w:rsid w:val="00725EA1"/>
    <w:rsid w:val="007345CA"/>
    <w:rsid w:val="00734AB2"/>
    <w:rsid w:val="0073622E"/>
    <w:rsid w:val="007432A2"/>
    <w:rsid w:val="0076522D"/>
    <w:rsid w:val="00774AED"/>
    <w:rsid w:val="00776B07"/>
    <w:rsid w:val="007771A7"/>
    <w:rsid w:val="00784FC8"/>
    <w:rsid w:val="00790A29"/>
    <w:rsid w:val="00793CC3"/>
    <w:rsid w:val="007953F4"/>
    <w:rsid w:val="007A2FA2"/>
    <w:rsid w:val="007A47FE"/>
    <w:rsid w:val="007B1877"/>
    <w:rsid w:val="007B41DE"/>
    <w:rsid w:val="007D0422"/>
    <w:rsid w:val="007D7B4E"/>
    <w:rsid w:val="007E1384"/>
    <w:rsid w:val="007E24FA"/>
    <w:rsid w:val="007E2780"/>
    <w:rsid w:val="007E466F"/>
    <w:rsid w:val="007F2980"/>
    <w:rsid w:val="007F60AF"/>
    <w:rsid w:val="00804688"/>
    <w:rsid w:val="00812672"/>
    <w:rsid w:val="00822B22"/>
    <w:rsid w:val="00827BB9"/>
    <w:rsid w:val="008329BC"/>
    <w:rsid w:val="00843B8E"/>
    <w:rsid w:val="008443F2"/>
    <w:rsid w:val="00847155"/>
    <w:rsid w:val="008515EB"/>
    <w:rsid w:val="00853E58"/>
    <w:rsid w:val="00855000"/>
    <w:rsid w:val="00857379"/>
    <w:rsid w:val="00864D0B"/>
    <w:rsid w:val="00865C5E"/>
    <w:rsid w:val="00867D36"/>
    <w:rsid w:val="00873316"/>
    <w:rsid w:val="0088027A"/>
    <w:rsid w:val="008850F0"/>
    <w:rsid w:val="008916AC"/>
    <w:rsid w:val="00896FCB"/>
    <w:rsid w:val="008A1FA9"/>
    <w:rsid w:val="008B6598"/>
    <w:rsid w:val="008B7CD4"/>
    <w:rsid w:val="008D1FCB"/>
    <w:rsid w:val="008D79B1"/>
    <w:rsid w:val="008D7AE3"/>
    <w:rsid w:val="008E189B"/>
    <w:rsid w:val="008E3100"/>
    <w:rsid w:val="008E4592"/>
    <w:rsid w:val="008E4DE0"/>
    <w:rsid w:val="008E536A"/>
    <w:rsid w:val="008E6F5B"/>
    <w:rsid w:val="008F36FF"/>
    <w:rsid w:val="00901E50"/>
    <w:rsid w:val="0090292A"/>
    <w:rsid w:val="00903537"/>
    <w:rsid w:val="00907270"/>
    <w:rsid w:val="00920366"/>
    <w:rsid w:val="00920C51"/>
    <w:rsid w:val="00920F9E"/>
    <w:rsid w:val="00923A3F"/>
    <w:rsid w:val="009264F3"/>
    <w:rsid w:val="00936836"/>
    <w:rsid w:val="0094684E"/>
    <w:rsid w:val="00956956"/>
    <w:rsid w:val="0096568F"/>
    <w:rsid w:val="0096602E"/>
    <w:rsid w:val="00966848"/>
    <w:rsid w:val="00973973"/>
    <w:rsid w:val="009763A0"/>
    <w:rsid w:val="00981943"/>
    <w:rsid w:val="009B2C9C"/>
    <w:rsid w:val="009B4692"/>
    <w:rsid w:val="009B6547"/>
    <w:rsid w:val="009C07E6"/>
    <w:rsid w:val="009C3641"/>
    <w:rsid w:val="009C7BD6"/>
    <w:rsid w:val="009D5C1E"/>
    <w:rsid w:val="009D6FE0"/>
    <w:rsid w:val="009E49A1"/>
    <w:rsid w:val="009F2DB7"/>
    <w:rsid w:val="009F3038"/>
    <w:rsid w:val="00A01E61"/>
    <w:rsid w:val="00A06711"/>
    <w:rsid w:val="00A1521C"/>
    <w:rsid w:val="00A153F2"/>
    <w:rsid w:val="00A302B2"/>
    <w:rsid w:val="00A32601"/>
    <w:rsid w:val="00A32F0E"/>
    <w:rsid w:val="00A5639A"/>
    <w:rsid w:val="00A56BE1"/>
    <w:rsid w:val="00A66895"/>
    <w:rsid w:val="00A71287"/>
    <w:rsid w:val="00A72AAF"/>
    <w:rsid w:val="00A8552A"/>
    <w:rsid w:val="00A8765A"/>
    <w:rsid w:val="00A90389"/>
    <w:rsid w:val="00A95898"/>
    <w:rsid w:val="00AB59CD"/>
    <w:rsid w:val="00AB64DF"/>
    <w:rsid w:val="00AD4675"/>
    <w:rsid w:val="00AE65D2"/>
    <w:rsid w:val="00AF45A0"/>
    <w:rsid w:val="00AF48ED"/>
    <w:rsid w:val="00AF4C6D"/>
    <w:rsid w:val="00AF7740"/>
    <w:rsid w:val="00B0035C"/>
    <w:rsid w:val="00B05487"/>
    <w:rsid w:val="00B1055F"/>
    <w:rsid w:val="00B1572E"/>
    <w:rsid w:val="00B17956"/>
    <w:rsid w:val="00B26058"/>
    <w:rsid w:val="00B30D82"/>
    <w:rsid w:val="00B30E65"/>
    <w:rsid w:val="00B37FA3"/>
    <w:rsid w:val="00B444A1"/>
    <w:rsid w:val="00B445F7"/>
    <w:rsid w:val="00B44BFF"/>
    <w:rsid w:val="00B46A92"/>
    <w:rsid w:val="00B51910"/>
    <w:rsid w:val="00B52AED"/>
    <w:rsid w:val="00B54AEF"/>
    <w:rsid w:val="00B7564B"/>
    <w:rsid w:val="00B84D39"/>
    <w:rsid w:val="00B87C31"/>
    <w:rsid w:val="00B87EFC"/>
    <w:rsid w:val="00B92245"/>
    <w:rsid w:val="00BA228D"/>
    <w:rsid w:val="00BA78DF"/>
    <w:rsid w:val="00BB033F"/>
    <w:rsid w:val="00BB24A3"/>
    <w:rsid w:val="00BB556B"/>
    <w:rsid w:val="00BC28A6"/>
    <w:rsid w:val="00BC4951"/>
    <w:rsid w:val="00BE0E78"/>
    <w:rsid w:val="00BE73C5"/>
    <w:rsid w:val="00BE7781"/>
    <w:rsid w:val="00BE7C2A"/>
    <w:rsid w:val="00BF4059"/>
    <w:rsid w:val="00BF6011"/>
    <w:rsid w:val="00C035C1"/>
    <w:rsid w:val="00C05F91"/>
    <w:rsid w:val="00C10F21"/>
    <w:rsid w:val="00C25462"/>
    <w:rsid w:val="00C3123E"/>
    <w:rsid w:val="00C31521"/>
    <w:rsid w:val="00C34CDD"/>
    <w:rsid w:val="00C35032"/>
    <w:rsid w:val="00C40D0A"/>
    <w:rsid w:val="00C42D4C"/>
    <w:rsid w:val="00C434E9"/>
    <w:rsid w:val="00C479EB"/>
    <w:rsid w:val="00C57618"/>
    <w:rsid w:val="00C66531"/>
    <w:rsid w:val="00C73BBF"/>
    <w:rsid w:val="00C83064"/>
    <w:rsid w:val="00C85305"/>
    <w:rsid w:val="00CA1DC0"/>
    <w:rsid w:val="00CA291F"/>
    <w:rsid w:val="00CA33BA"/>
    <w:rsid w:val="00CB1081"/>
    <w:rsid w:val="00CB6B9E"/>
    <w:rsid w:val="00CC2358"/>
    <w:rsid w:val="00CD3743"/>
    <w:rsid w:val="00CE022C"/>
    <w:rsid w:val="00D07541"/>
    <w:rsid w:val="00D14E55"/>
    <w:rsid w:val="00D231FD"/>
    <w:rsid w:val="00D255CB"/>
    <w:rsid w:val="00D30A15"/>
    <w:rsid w:val="00D37817"/>
    <w:rsid w:val="00D441BE"/>
    <w:rsid w:val="00D50725"/>
    <w:rsid w:val="00D52CFC"/>
    <w:rsid w:val="00D776A0"/>
    <w:rsid w:val="00D81E64"/>
    <w:rsid w:val="00D83686"/>
    <w:rsid w:val="00D86699"/>
    <w:rsid w:val="00DA07B3"/>
    <w:rsid w:val="00DB2C82"/>
    <w:rsid w:val="00DB374E"/>
    <w:rsid w:val="00DB42D0"/>
    <w:rsid w:val="00DB6753"/>
    <w:rsid w:val="00DC0FF9"/>
    <w:rsid w:val="00DD53F6"/>
    <w:rsid w:val="00DD5EA1"/>
    <w:rsid w:val="00DE0191"/>
    <w:rsid w:val="00DF56B2"/>
    <w:rsid w:val="00E02075"/>
    <w:rsid w:val="00E160FB"/>
    <w:rsid w:val="00E17BCD"/>
    <w:rsid w:val="00E20F42"/>
    <w:rsid w:val="00E321E4"/>
    <w:rsid w:val="00E32660"/>
    <w:rsid w:val="00E516E0"/>
    <w:rsid w:val="00E51A81"/>
    <w:rsid w:val="00E52F46"/>
    <w:rsid w:val="00E5694E"/>
    <w:rsid w:val="00E730C0"/>
    <w:rsid w:val="00E8003A"/>
    <w:rsid w:val="00E808EE"/>
    <w:rsid w:val="00E92D5A"/>
    <w:rsid w:val="00E92E3C"/>
    <w:rsid w:val="00E93016"/>
    <w:rsid w:val="00EA35DA"/>
    <w:rsid w:val="00EA7A00"/>
    <w:rsid w:val="00EB6F78"/>
    <w:rsid w:val="00EC63A1"/>
    <w:rsid w:val="00ED3CEF"/>
    <w:rsid w:val="00EE1F57"/>
    <w:rsid w:val="00EF58BA"/>
    <w:rsid w:val="00EF5F48"/>
    <w:rsid w:val="00F02BA9"/>
    <w:rsid w:val="00F04186"/>
    <w:rsid w:val="00F05B5C"/>
    <w:rsid w:val="00F11B27"/>
    <w:rsid w:val="00F15624"/>
    <w:rsid w:val="00F178C2"/>
    <w:rsid w:val="00F17CB4"/>
    <w:rsid w:val="00F204AA"/>
    <w:rsid w:val="00F20794"/>
    <w:rsid w:val="00F24880"/>
    <w:rsid w:val="00F31404"/>
    <w:rsid w:val="00F37332"/>
    <w:rsid w:val="00F37C4C"/>
    <w:rsid w:val="00F47451"/>
    <w:rsid w:val="00F7045F"/>
    <w:rsid w:val="00F758B0"/>
    <w:rsid w:val="00F76087"/>
    <w:rsid w:val="00F96646"/>
    <w:rsid w:val="00F97633"/>
    <w:rsid w:val="00FA23FE"/>
    <w:rsid w:val="00FA5831"/>
    <w:rsid w:val="00FA660C"/>
    <w:rsid w:val="00FB12E3"/>
    <w:rsid w:val="00FB2E7A"/>
    <w:rsid w:val="00FC253C"/>
    <w:rsid w:val="00FC7017"/>
    <w:rsid w:val="00FD1B88"/>
    <w:rsid w:val="00FD232A"/>
    <w:rsid w:val="00FD2BB0"/>
    <w:rsid w:val="00FD321F"/>
    <w:rsid w:val="00FD38A9"/>
    <w:rsid w:val="00FD7686"/>
    <w:rsid w:val="00FD77A3"/>
    <w:rsid w:val="00FE6345"/>
    <w:rsid w:val="00FF49FF"/>
    <w:rsid w:val="00FF7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EE95EC"/>
  <w15:chartTrackingRefBased/>
  <w15:docId w15:val="{37CAC312-79BB-4A52-A571-725EE5EF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I Normal"/>
    <w:qFormat/>
    <w:rsid w:val="00A302B2"/>
    <w:pPr>
      <w:spacing w:before="300" w:line="276" w:lineRule="auto"/>
    </w:pPr>
    <w:rPr>
      <w:rFonts w:ascii="Arial" w:hAnsi="Arial"/>
      <w:color w:val="453F43" w:themeColor="background2"/>
      <w:sz w:val="20"/>
      <w:szCs w:val="22"/>
    </w:rPr>
  </w:style>
  <w:style w:type="paragraph" w:styleId="Heading1">
    <w:name w:val="heading 1"/>
    <w:aliases w:val="Heading 1 DI,Heading 1 (only)"/>
    <w:next w:val="Normal"/>
    <w:link w:val="Heading1Char"/>
    <w:autoRedefine/>
    <w:uiPriority w:val="9"/>
    <w:qFormat/>
    <w:rsid w:val="0045351C"/>
    <w:pPr>
      <w:keepNext/>
      <w:keepLines/>
      <w:spacing w:after="1200"/>
      <w:outlineLvl w:val="0"/>
    </w:pPr>
    <w:rPr>
      <w:rFonts w:asciiTheme="majorHAnsi" w:eastAsiaTheme="majorEastAsia" w:hAnsiTheme="majorHAnsi" w:cstheme="majorBidi"/>
      <w:b/>
      <w:bCs/>
      <w:color w:val="008ACC" w:themeColor="text2"/>
      <w:sz w:val="60"/>
      <w:szCs w:val="32"/>
    </w:rPr>
  </w:style>
  <w:style w:type="paragraph" w:styleId="Heading2">
    <w:name w:val="heading 2"/>
    <w:aliases w:val="Heading 2 DI"/>
    <w:basedOn w:val="Normal"/>
    <w:next w:val="Normal"/>
    <w:link w:val="Heading2Char"/>
    <w:autoRedefine/>
    <w:uiPriority w:val="9"/>
    <w:unhideWhenUsed/>
    <w:qFormat/>
    <w:rsid w:val="00BB033F"/>
    <w:pPr>
      <w:keepNext/>
      <w:keepLines/>
      <w:spacing w:before="200" w:after="200" w:line="340" w:lineRule="exact"/>
      <w:outlineLvl w:val="1"/>
    </w:pPr>
    <w:rPr>
      <w:rFonts w:asciiTheme="minorHAnsi" w:eastAsiaTheme="majorEastAsia" w:hAnsiTheme="minorHAnsi" w:cstheme="minorHAnsi"/>
      <w:b/>
      <w:bCs/>
      <w:sz w:val="26"/>
      <w:szCs w:val="26"/>
    </w:rPr>
  </w:style>
  <w:style w:type="paragraph" w:styleId="Heading3">
    <w:name w:val="heading 3"/>
    <w:aliases w:val="Heading 3 DI"/>
    <w:basedOn w:val="Normal"/>
    <w:next w:val="Normal"/>
    <w:link w:val="Heading3Char"/>
    <w:autoRedefine/>
    <w:uiPriority w:val="9"/>
    <w:unhideWhenUsed/>
    <w:qFormat/>
    <w:rsid w:val="001F08ED"/>
    <w:pPr>
      <w:keepNext/>
      <w:keepLines/>
      <w:spacing w:line="340" w:lineRule="exact"/>
      <w:outlineLvl w:val="2"/>
    </w:pPr>
    <w:rPr>
      <w:rFonts w:asciiTheme="majorHAnsi" w:eastAsiaTheme="majorEastAsia" w:hAnsiTheme="majorHAnsi" w:cstheme="majorBidi"/>
      <w:b/>
      <w:bCs/>
      <w:color w:val="008ACC" w:themeColor="text2"/>
      <w:sz w:val="22"/>
    </w:rPr>
  </w:style>
  <w:style w:type="paragraph" w:styleId="Heading4">
    <w:name w:val="heading 4"/>
    <w:aliases w:val="Heading 4 DI"/>
    <w:link w:val="Heading4Char"/>
    <w:autoRedefine/>
    <w:uiPriority w:val="9"/>
    <w:unhideWhenUsed/>
    <w:qFormat/>
    <w:rsid w:val="001F08ED"/>
    <w:pPr>
      <w:keepNext/>
      <w:keepLines/>
      <w:spacing w:before="200" w:line="280" w:lineRule="exact"/>
      <w:outlineLvl w:val="3"/>
    </w:pPr>
    <w:rPr>
      <w:rFonts w:asciiTheme="majorHAnsi" w:eastAsiaTheme="majorEastAsia" w:hAnsiTheme="majorHAnsi" w:cstheme="majorBidi"/>
      <w:color w:val="008ACC" w:themeColor="accent1"/>
      <w:sz w:val="20"/>
      <w:szCs w:val="20"/>
    </w:rPr>
  </w:style>
  <w:style w:type="paragraph" w:styleId="Heading5">
    <w:name w:val="heading 5"/>
    <w:aliases w:val="Heading 5 DI"/>
    <w:basedOn w:val="Normal"/>
    <w:next w:val="Normal"/>
    <w:link w:val="Heading5Char"/>
    <w:uiPriority w:val="9"/>
    <w:rsid w:val="00865C5E"/>
    <w:pPr>
      <w:outlineLvl w:val="4"/>
    </w:pPr>
    <w:rPr>
      <w:rFonts w:cs="Times New Roman"/>
      <w:color w:val="BA0C2F"/>
      <w:szCs w:val="20"/>
      <w:lang w:eastAsia="en-GB"/>
    </w:rPr>
  </w:style>
  <w:style w:type="paragraph" w:styleId="Heading6">
    <w:name w:val="heading 6"/>
    <w:aliases w:val="Heading 6 DI"/>
    <w:basedOn w:val="Normal"/>
    <w:next w:val="Normal"/>
    <w:link w:val="Heading6Char"/>
    <w:uiPriority w:val="9"/>
    <w:unhideWhenUsed/>
    <w:qFormat/>
    <w:rsid w:val="00865C5E"/>
    <w:pPr>
      <w:keepNext/>
      <w:keepLines/>
      <w:spacing w:before="200"/>
      <w:outlineLvl w:val="5"/>
    </w:pPr>
    <w:rPr>
      <w:rFonts w:asciiTheme="majorHAnsi" w:eastAsiaTheme="majorEastAsia" w:hAnsiTheme="majorHAnsi" w:cstheme="majorBidi"/>
      <w:i/>
      <w:iCs/>
      <w:color w:val="004465" w:themeColor="accent1" w:themeShade="7F"/>
    </w:rPr>
  </w:style>
  <w:style w:type="paragraph" w:styleId="Heading7">
    <w:name w:val="heading 7"/>
    <w:aliases w:val="Heading 7 DI"/>
    <w:basedOn w:val="Normal"/>
    <w:next w:val="Normal"/>
    <w:link w:val="Heading7Char"/>
    <w:uiPriority w:val="9"/>
    <w:semiHidden/>
    <w:unhideWhenUsed/>
    <w:qFormat/>
    <w:rsid w:val="00865C5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I Char,Heading 1 (only) Char"/>
    <w:basedOn w:val="DefaultParagraphFont"/>
    <w:link w:val="Heading1"/>
    <w:uiPriority w:val="9"/>
    <w:rsid w:val="0045351C"/>
    <w:rPr>
      <w:rFonts w:asciiTheme="majorHAnsi" w:eastAsiaTheme="majorEastAsia" w:hAnsiTheme="majorHAnsi" w:cstheme="majorBidi"/>
      <w:b/>
      <w:bCs/>
      <w:color w:val="008ACC" w:themeColor="text2"/>
      <w:sz w:val="60"/>
      <w:szCs w:val="32"/>
    </w:rPr>
  </w:style>
  <w:style w:type="character" w:customStyle="1" w:styleId="Heading2Char">
    <w:name w:val="Heading 2 Char"/>
    <w:aliases w:val="Heading 2 DI Char"/>
    <w:basedOn w:val="DefaultParagraphFont"/>
    <w:link w:val="Heading2"/>
    <w:uiPriority w:val="9"/>
    <w:rsid w:val="00BB033F"/>
    <w:rPr>
      <w:rFonts w:eastAsiaTheme="majorEastAsia" w:cstheme="minorHAnsi"/>
      <w:b/>
      <w:bCs/>
      <w:color w:val="453F43" w:themeColor="background2"/>
      <w:sz w:val="26"/>
      <w:szCs w:val="26"/>
    </w:rPr>
  </w:style>
  <w:style w:type="character" w:customStyle="1" w:styleId="Heading3Char">
    <w:name w:val="Heading 3 Char"/>
    <w:aliases w:val="Heading 3 DI Char"/>
    <w:basedOn w:val="DefaultParagraphFont"/>
    <w:link w:val="Heading3"/>
    <w:uiPriority w:val="9"/>
    <w:rsid w:val="001F08ED"/>
    <w:rPr>
      <w:rFonts w:asciiTheme="majorHAnsi" w:eastAsiaTheme="majorEastAsia" w:hAnsiTheme="majorHAnsi" w:cstheme="majorBidi"/>
      <w:b/>
      <w:bCs/>
      <w:color w:val="008ACC" w:themeColor="text2"/>
      <w:sz w:val="22"/>
    </w:rPr>
  </w:style>
  <w:style w:type="character" w:customStyle="1" w:styleId="Heading4Char">
    <w:name w:val="Heading 4 Char"/>
    <w:aliases w:val="Heading 4 DI Char"/>
    <w:basedOn w:val="DefaultParagraphFont"/>
    <w:link w:val="Heading4"/>
    <w:uiPriority w:val="9"/>
    <w:rsid w:val="001F08ED"/>
    <w:rPr>
      <w:rFonts w:asciiTheme="majorHAnsi" w:eastAsiaTheme="majorEastAsia" w:hAnsiTheme="majorHAnsi" w:cstheme="majorBidi"/>
      <w:color w:val="008ACC" w:themeColor="accent1"/>
      <w:sz w:val="20"/>
      <w:szCs w:val="20"/>
    </w:rPr>
  </w:style>
  <w:style w:type="character" w:customStyle="1" w:styleId="Heading5Char">
    <w:name w:val="Heading 5 Char"/>
    <w:aliases w:val="Heading 5 DI Char"/>
    <w:basedOn w:val="DefaultParagraphFont"/>
    <w:link w:val="Heading5"/>
    <w:uiPriority w:val="9"/>
    <w:rsid w:val="00865C5E"/>
    <w:rPr>
      <w:rFonts w:ascii="Arial" w:eastAsia="Arial" w:hAnsi="Arial" w:cs="Times New Roman"/>
      <w:color w:val="BA0C2F"/>
      <w:szCs w:val="20"/>
    </w:rPr>
  </w:style>
  <w:style w:type="character" w:customStyle="1" w:styleId="Heading6Char">
    <w:name w:val="Heading 6 Char"/>
    <w:aliases w:val="Heading 6 DI Char"/>
    <w:basedOn w:val="DefaultParagraphFont"/>
    <w:link w:val="Heading6"/>
    <w:uiPriority w:val="9"/>
    <w:rsid w:val="00865C5E"/>
    <w:rPr>
      <w:rFonts w:asciiTheme="majorHAnsi" w:eastAsiaTheme="majorEastAsia" w:hAnsiTheme="majorHAnsi" w:cstheme="majorBidi"/>
      <w:i/>
      <w:iCs/>
      <w:color w:val="004465" w:themeColor="accent1" w:themeShade="7F"/>
      <w:sz w:val="20"/>
    </w:rPr>
  </w:style>
  <w:style w:type="character" w:customStyle="1" w:styleId="Heading7Char">
    <w:name w:val="Heading 7 Char"/>
    <w:aliases w:val="Heading 7 DI Char"/>
    <w:basedOn w:val="DefaultParagraphFont"/>
    <w:link w:val="Heading7"/>
    <w:uiPriority w:val="9"/>
    <w:semiHidden/>
    <w:rsid w:val="00865C5E"/>
    <w:rPr>
      <w:rFonts w:asciiTheme="majorHAnsi" w:eastAsiaTheme="majorEastAsia" w:hAnsiTheme="majorHAnsi" w:cstheme="majorBidi"/>
      <w:i/>
      <w:iCs/>
      <w:color w:val="404040" w:themeColor="text1" w:themeTint="BF"/>
      <w:sz w:val="20"/>
    </w:rPr>
  </w:style>
  <w:style w:type="paragraph" w:styleId="TOC1">
    <w:name w:val="toc 1"/>
    <w:aliases w:val="DI TOC 1"/>
    <w:basedOn w:val="Normal"/>
    <w:next w:val="Normal"/>
    <w:autoRedefine/>
    <w:uiPriority w:val="39"/>
    <w:unhideWhenUsed/>
    <w:qFormat/>
    <w:rsid w:val="001F08ED"/>
    <w:pPr>
      <w:tabs>
        <w:tab w:val="right" w:leader="dot" w:pos="7694"/>
      </w:tabs>
      <w:spacing w:after="100"/>
    </w:pPr>
    <w:rPr>
      <w:noProof/>
      <w:color w:val="008ACC" w:themeColor="text2"/>
      <w:szCs w:val="20"/>
    </w:rPr>
  </w:style>
  <w:style w:type="paragraph" w:styleId="TOC2">
    <w:name w:val="toc 2"/>
    <w:aliases w:val="DI TOC 2"/>
    <w:basedOn w:val="Normal"/>
    <w:next w:val="Normal"/>
    <w:autoRedefine/>
    <w:uiPriority w:val="39"/>
    <w:unhideWhenUsed/>
    <w:qFormat/>
    <w:rsid w:val="001F08ED"/>
    <w:pPr>
      <w:tabs>
        <w:tab w:val="right" w:leader="dot" w:pos="7694"/>
      </w:tabs>
      <w:spacing w:after="100"/>
      <w:ind w:left="340"/>
    </w:pPr>
  </w:style>
  <w:style w:type="paragraph" w:styleId="TOC3">
    <w:name w:val="toc 3"/>
    <w:aliases w:val="DI TOC 3"/>
    <w:basedOn w:val="TOC2"/>
    <w:next w:val="Normal"/>
    <w:autoRedefine/>
    <w:uiPriority w:val="39"/>
    <w:unhideWhenUsed/>
    <w:qFormat/>
    <w:rsid w:val="001F08ED"/>
  </w:style>
  <w:style w:type="paragraph" w:styleId="TOC4">
    <w:name w:val="toc 4"/>
    <w:aliases w:val="DI TOC 4"/>
    <w:basedOn w:val="Normal"/>
    <w:next w:val="Normal"/>
    <w:autoRedefine/>
    <w:uiPriority w:val="39"/>
    <w:rsid w:val="00865C5E"/>
    <w:pPr>
      <w:tabs>
        <w:tab w:val="right" w:leader="dot" w:pos="7541"/>
      </w:tabs>
      <w:spacing w:line="300" w:lineRule="exact"/>
      <w:ind w:left="658"/>
    </w:pPr>
    <w:rPr>
      <w:rFonts w:cs="Times New Roman"/>
      <w:szCs w:val="20"/>
    </w:rPr>
  </w:style>
  <w:style w:type="paragraph" w:styleId="TOC6">
    <w:name w:val="toc 6"/>
    <w:aliases w:val="DI TOC 6"/>
    <w:basedOn w:val="Normal"/>
    <w:next w:val="Normal"/>
    <w:autoRedefine/>
    <w:rsid w:val="00865C5E"/>
    <w:pPr>
      <w:ind w:left="1100"/>
    </w:pPr>
    <w:rPr>
      <w:rFonts w:cs="Times New Roman"/>
      <w:szCs w:val="20"/>
    </w:rPr>
  </w:style>
  <w:style w:type="paragraph" w:styleId="FootnoteText">
    <w:name w:val="footnote text"/>
    <w:basedOn w:val="Normal"/>
    <w:link w:val="FootnoteTextChar"/>
    <w:rsid w:val="00865C5E"/>
    <w:rPr>
      <w:rFonts w:cs="Times New Roman"/>
      <w:sz w:val="16"/>
      <w:szCs w:val="20"/>
      <w:lang w:eastAsia="en-GB"/>
    </w:rPr>
  </w:style>
  <w:style w:type="character" w:customStyle="1" w:styleId="FootnoteTextChar">
    <w:name w:val="Footnote Text Char"/>
    <w:basedOn w:val="DefaultParagraphFont"/>
    <w:link w:val="FootnoteText"/>
    <w:rsid w:val="00865C5E"/>
    <w:rPr>
      <w:rFonts w:ascii="Arial" w:eastAsia="Arial" w:hAnsi="Arial" w:cs="Times New Roman"/>
      <w:sz w:val="16"/>
      <w:szCs w:val="20"/>
    </w:rPr>
  </w:style>
  <w:style w:type="paragraph" w:styleId="Footer">
    <w:name w:val="footer"/>
    <w:basedOn w:val="Normal"/>
    <w:link w:val="FooterChar"/>
    <w:uiPriority w:val="99"/>
    <w:rsid w:val="00865C5E"/>
    <w:pPr>
      <w:tabs>
        <w:tab w:val="center" w:pos="4320"/>
        <w:tab w:val="right" w:pos="8640"/>
      </w:tabs>
    </w:pPr>
    <w:rPr>
      <w:rFonts w:cs="Times New Roman"/>
      <w:color w:val="BA0C2F"/>
      <w:sz w:val="14"/>
      <w:lang w:eastAsia="en-GB"/>
    </w:rPr>
  </w:style>
  <w:style w:type="character" w:customStyle="1" w:styleId="FooterChar">
    <w:name w:val="Footer Char"/>
    <w:basedOn w:val="DefaultParagraphFont"/>
    <w:link w:val="Footer"/>
    <w:uiPriority w:val="99"/>
    <w:rsid w:val="00865C5E"/>
    <w:rPr>
      <w:rFonts w:ascii="Arial" w:eastAsia="Arial" w:hAnsi="Arial" w:cs="Times New Roman"/>
      <w:color w:val="BA0C2F"/>
      <w:sz w:val="14"/>
      <w:szCs w:val="24"/>
    </w:rPr>
  </w:style>
  <w:style w:type="paragraph" w:styleId="Caption">
    <w:name w:val="caption"/>
    <w:basedOn w:val="Normal"/>
    <w:next w:val="Normal"/>
    <w:uiPriority w:val="35"/>
    <w:unhideWhenUsed/>
    <w:qFormat/>
    <w:rsid w:val="001F08ED"/>
    <w:pPr>
      <w:spacing w:before="0" w:after="200" w:line="240" w:lineRule="auto"/>
    </w:pPr>
    <w:rPr>
      <w:b/>
      <w:bCs/>
      <w:color w:val="008ACC" w:themeColor="accent1"/>
      <w:sz w:val="18"/>
      <w:szCs w:val="18"/>
    </w:rPr>
  </w:style>
  <w:style w:type="character" w:styleId="FootnoteReference">
    <w:name w:val="footnote reference"/>
    <w:rsid w:val="00865C5E"/>
    <w:rPr>
      <w:vertAlign w:val="superscript"/>
    </w:rPr>
  </w:style>
  <w:style w:type="character" w:styleId="PageNumber">
    <w:name w:val="page number"/>
    <w:uiPriority w:val="99"/>
    <w:semiHidden/>
    <w:unhideWhenUsed/>
    <w:rsid w:val="00865C5E"/>
    <w:rPr>
      <w:rFonts w:ascii="Arial" w:hAnsi="Arial"/>
      <w:color w:val="BA0C2F"/>
      <w:sz w:val="16"/>
    </w:rPr>
  </w:style>
  <w:style w:type="character" w:styleId="EndnoteReference">
    <w:name w:val="endnote reference"/>
    <w:qFormat/>
    <w:rsid w:val="003B632F"/>
    <w:rPr>
      <w:rFonts w:asciiTheme="minorHAnsi" w:hAnsiTheme="minorHAnsi"/>
      <w:sz w:val="20"/>
      <w:vertAlign w:val="superscript"/>
    </w:rPr>
  </w:style>
  <w:style w:type="paragraph" w:styleId="EndnoteText">
    <w:name w:val="endnote text"/>
    <w:basedOn w:val="Normal"/>
    <w:next w:val="Normal"/>
    <w:link w:val="EndnoteTextChar"/>
    <w:autoRedefine/>
    <w:qFormat/>
    <w:rsid w:val="00BB033F"/>
    <w:pPr>
      <w:widowControl w:val="0"/>
      <w:spacing w:before="0"/>
    </w:pPr>
    <w:rPr>
      <w:rFonts w:eastAsia="Arial" w:cs="Times New Roman"/>
      <w:sz w:val="16"/>
      <w:szCs w:val="20"/>
      <w:lang w:val="fr-FR" w:eastAsia="en-GB"/>
    </w:rPr>
  </w:style>
  <w:style w:type="character" w:customStyle="1" w:styleId="EndnoteTextChar">
    <w:name w:val="Endnote Text Char"/>
    <w:basedOn w:val="DefaultParagraphFont"/>
    <w:link w:val="EndnoteText"/>
    <w:rsid w:val="00BB033F"/>
    <w:rPr>
      <w:rFonts w:ascii="Arial" w:eastAsia="Arial" w:hAnsi="Arial" w:cs="Times New Roman"/>
      <w:color w:val="453F43" w:themeColor="background2"/>
      <w:sz w:val="16"/>
      <w:szCs w:val="20"/>
      <w:lang w:val="fr-FR" w:eastAsia="en-GB"/>
    </w:rPr>
  </w:style>
  <w:style w:type="paragraph" w:styleId="ListBullet">
    <w:name w:val="List Bullet"/>
    <w:aliases w:val="List 1 Bullet"/>
    <w:basedOn w:val="Normal"/>
    <w:uiPriority w:val="99"/>
    <w:unhideWhenUsed/>
    <w:rsid w:val="00865C5E"/>
    <w:pPr>
      <w:numPr>
        <w:numId w:val="16"/>
      </w:numPr>
      <w:contextualSpacing/>
    </w:pPr>
    <w:rPr>
      <w:rFonts w:cs="Times New Roman"/>
    </w:rPr>
  </w:style>
  <w:style w:type="paragraph" w:styleId="ListNumber">
    <w:name w:val="List Number"/>
    <w:aliases w:val="List 1 Number"/>
    <w:basedOn w:val="Normal"/>
    <w:rsid w:val="00865C5E"/>
    <w:pPr>
      <w:numPr>
        <w:numId w:val="4"/>
      </w:numPr>
      <w:contextualSpacing/>
    </w:pPr>
    <w:rPr>
      <w:rFonts w:cs="Times New Roman"/>
    </w:rPr>
  </w:style>
  <w:style w:type="paragraph" w:styleId="ListBullet2">
    <w:name w:val="List Bullet 2"/>
    <w:aliases w:val="List 2 Bullet"/>
    <w:basedOn w:val="Normal"/>
    <w:uiPriority w:val="99"/>
    <w:unhideWhenUsed/>
    <w:qFormat/>
    <w:rsid w:val="00865C5E"/>
    <w:pPr>
      <w:numPr>
        <w:numId w:val="6"/>
      </w:numPr>
      <w:contextualSpacing/>
    </w:pPr>
    <w:rPr>
      <w:rFonts w:cs="Times New Roman"/>
    </w:rPr>
  </w:style>
  <w:style w:type="paragraph" w:styleId="ListBullet3">
    <w:name w:val="List Bullet 3"/>
    <w:aliases w:val="List 3 Bullet"/>
    <w:basedOn w:val="Normal"/>
    <w:uiPriority w:val="99"/>
    <w:unhideWhenUsed/>
    <w:rsid w:val="00865C5E"/>
    <w:pPr>
      <w:numPr>
        <w:numId w:val="8"/>
      </w:numPr>
      <w:contextualSpacing/>
    </w:pPr>
    <w:rPr>
      <w:rFonts w:cs="Times New Roman"/>
    </w:rPr>
  </w:style>
  <w:style w:type="paragraph" w:styleId="ListBullet4">
    <w:name w:val="List Bullet 4"/>
    <w:basedOn w:val="Normal"/>
    <w:uiPriority w:val="99"/>
    <w:semiHidden/>
    <w:unhideWhenUsed/>
    <w:rsid w:val="00865C5E"/>
    <w:pPr>
      <w:numPr>
        <w:numId w:val="10"/>
      </w:numPr>
      <w:contextualSpacing/>
    </w:pPr>
    <w:rPr>
      <w:rFonts w:cs="Times New Roman"/>
    </w:rPr>
  </w:style>
  <w:style w:type="paragraph" w:styleId="ListBullet5">
    <w:name w:val="List Bullet 5"/>
    <w:aliases w:val="List 5 Bullet"/>
    <w:basedOn w:val="Normal"/>
    <w:rsid w:val="00865C5E"/>
    <w:pPr>
      <w:numPr>
        <w:numId w:val="12"/>
      </w:numPr>
      <w:contextualSpacing/>
    </w:pPr>
    <w:rPr>
      <w:rFonts w:cs="Times New Roman"/>
    </w:rPr>
  </w:style>
  <w:style w:type="paragraph" w:styleId="ListNumber2">
    <w:name w:val="List Number 2"/>
    <w:aliases w:val="List 2 Number"/>
    <w:basedOn w:val="Normal"/>
    <w:rsid w:val="00865C5E"/>
    <w:pPr>
      <w:numPr>
        <w:numId w:val="14"/>
      </w:numPr>
      <w:contextualSpacing/>
    </w:pPr>
    <w:rPr>
      <w:rFonts w:cs="Times New Roman"/>
    </w:rPr>
  </w:style>
  <w:style w:type="character" w:styleId="Hyperlink">
    <w:name w:val="Hyperlink"/>
    <w:uiPriority w:val="99"/>
    <w:rsid w:val="00516E20"/>
    <w:rPr>
      <w:rFonts w:ascii="Arial" w:hAnsi="Arial"/>
      <w:color w:val="008ACC" w:themeColor="accent1"/>
      <w:u w:val="single"/>
    </w:rPr>
  </w:style>
  <w:style w:type="paragraph" w:styleId="NoSpacing">
    <w:name w:val="No Spacing"/>
    <w:uiPriority w:val="1"/>
    <w:rsid w:val="00865C5E"/>
    <w:rPr>
      <w:rFonts w:ascii="Arial" w:eastAsia="Arial" w:hAnsi="Arial" w:cs="Times New Roman"/>
    </w:rPr>
  </w:style>
  <w:style w:type="paragraph" w:customStyle="1" w:styleId="AddressDI">
    <w:name w:val="Address DI"/>
    <w:basedOn w:val="Normal"/>
    <w:next w:val="Normal"/>
    <w:rsid w:val="00865C5E"/>
    <w:pPr>
      <w:contextualSpacing/>
    </w:pPr>
    <w:rPr>
      <w:rFonts w:cs="Times New Roman"/>
    </w:rPr>
  </w:style>
  <w:style w:type="character" w:customStyle="1" w:styleId="Bold">
    <w:name w:val="Bold"/>
    <w:rsid w:val="00865C5E"/>
    <w:rPr>
      <w:b/>
    </w:rPr>
  </w:style>
  <w:style w:type="paragraph" w:customStyle="1" w:styleId="Figureandtableheading">
    <w:name w:val="Figure and table heading"/>
    <w:basedOn w:val="Caption"/>
    <w:rsid w:val="00865C5E"/>
    <w:rPr>
      <w:sz w:val="22"/>
    </w:rPr>
  </w:style>
  <w:style w:type="paragraph" w:customStyle="1" w:styleId="QuoteDI">
    <w:name w:val="Quote DI"/>
    <w:basedOn w:val="Normal"/>
    <w:rsid w:val="00865C5E"/>
    <w:pPr>
      <w:spacing w:before="160"/>
      <w:ind w:left="522" w:right="522"/>
    </w:pPr>
    <w:rPr>
      <w:rFonts w:cs="Times New Roman"/>
      <w:i/>
      <w:szCs w:val="20"/>
    </w:rPr>
  </w:style>
  <w:style w:type="character" w:customStyle="1" w:styleId="Italic">
    <w:name w:val="Italic"/>
    <w:rsid w:val="00865C5E"/>
    <w:rPr>
      <w:i/>
    </w:rPr>
  </w:style>
  <w:style w:type="paragraph" w:customStyle="1" w:styleId="DITOCHeading1">
    <w:name w:val="DI TOC Heading1"/>
    <w:basedOn w:val="Heading1"/>
    <w:next w:val="Normal"/>
    <w:uiPriority w:val="39"/>
    <w:unhideWhenUsed/>
    <w:rsid w:val="00865C5E"/>
    <w:pPr>
      <w:spacing w:before="480" w:line="276" w:lineRule="auto"/>
      <w:outlineLvl w:val="9"/>
    </w:pPr>
    <w:rPr>
      <w:szCs w:val="28"/>
      <w:lang w:val="en-US"/>
    </w:rPr>
  </w:style>
  <w:style w:type="paragraph" w:customStyle="1" w:styleId="BoxheadingDI">
    <w:name w:val="Box heading DI"/>
    <w:basedOn w:val="Heading2"/>
    <w:rsid w:val="00865C5E"/>
    <w:pPr>
      <w:spacing w:before="0"/>
    </w:pPr>
  </w:style>
  <w:style w:type="paragraph" w:customStyle="1" w:styleId="Tablebody">
    <w:name w:val="Table body"/>
    <w:basedOn w:val="Normal"/>
    <w:rsid w:val="00865C5E"/>
    <w:rPr>
      <w:rFonts w:cs="Times New Roman"/>
      <w:sz w:val="18"/>
      <w:szCs w:val="18"/>
    </w:rPr>
  </w:style>
  <w:style w:type="paragraph" w:customStyle="1" w:styleId="Tableheading">
    <w:name w:val="Table heading"/>
    <w:basedOn w:val="Normal"/>
    <w:rsid w:val="00865C5E"/>
    <w:rPr>
      <w:rFonts w:cs="Times New Roman"/>
      <w:bCs/>
      <w:sz w:val="18"/>
      <w:szCs w:val="18"/>
    </w:rPr>
  </w:style>
  <w:style w:type="paragraph" w:customStyle="1" w:styleId="Boxheading">
    <w:name w:val="Box heading"/>
    <w:basedOn w:val="Heading2"/>
    <w:rsid w:val="00865C5E"/>
    <w:pPr>
      <w:spacing w:before="0"/>
    </w:pPr>
  </w:style>
  <w:style w:type="paragraph" w:customStyle="1" w:styleId="Longnumberedlist">
    <w:name w:val="Long numbered list"/>
    <w:basedOn w:val="Normal"/>
    <w:link w:val="LongnumberedlistChar"/>
    <w:rsid w:val="00865C5E"/>
    <w:pPr>
      <w:numPr>
        <w:numId w:val="15"/>
      </w:numPr>
    </w:pPr>
    <w:rPr>
      <w:rFonts w:cs="Times New Roman"/>
      <w:noProof/>
    </w:rPr>
  </w:style>
  <w:style w:type="character" w:customStyle="1" w:styleId="LongnumberedlistChar">
    <w:name w:val="Long numbered list Char"/>
    <w:basedOn w:val="DefaultParagraphFont"/>
    <w:link w:val="Longnumberedlist"/>
    <w:rsid w:val="00865C5E"/>
    <w:rPr>
      <w:rFonts w:ascii="Arial" w:eastAsia="Arial" w:hAnsi="Arial" w:cs="Times New Roman"/>
      <w:noProof/>
      <w:szCs w:val="24"/>
      <w:lang w:eastAsia="en-US"/>
    </w:rPr>
  </w:style>
  <w:style w:type="paragraph" w:customStyle="1" w:styleId="Longbulletlist">
    <w:name w:val="Long bullet list"/>
    <w:basedOn w:val="ListBullet"/>
    <w:link w:val="LongbulletlistChar"/>
    <w:rsid w:val="00865C5E"/>
    <w:pPr>
      <w:numPr>
        <w:numId w:val="0"/>
      </w:numPr>
      <w:contextualSpacing w:val="0"/>
    </w:pPr>
    <w:rPr>
      <w:noProof/>
    </w:rPr>
  </w:style>
  <w:style w:type="character" w:customStyle="1" w:styleId="LongbulletlistChar">
    <w:name w:val="Long bullet list Char"/>
    <w:basedOn w:val="LongnumberedlistChar"/>
    <w:link w:val="Longbulletlist"/>
    <w:rsid w:val="00865C5E"/>
    <w:rPr>
      <w:rFonts w:ascii="Arial" w:eastAsia="Arial" w:hAnsi="Arial" w:cs="Times New Roman"/>
      <w:noProof/>
      <w:szCs w:val="24"/>
      <w:lang w:eastAsia="en-US"/>
    </w:rPr>
  </w:style>
  <w:style w:type="paragraph" w:customStyle="1" w:styleId="List4bullet">
    <w:name w:val="List 4 bullet"/>
    <w:basedOn w:val="Normal"/>
    <w:link w:val="List4bulletChar"/>
    <w:rsid w:val="00865C5E"/>
    <w:pPr>
      <w:numPr>
        <w:numId w:val="17"/>
      </w:numPr>
    </w:pPr>
    <w:rPr>
      <w:rFonts w:cs="Times New Roman"/>
    </w:rPr>
  </w:style>
  <w:style w:type="character" w:customStyle="1" w:styleId="List4bulletChar">
    <w:name w:val="List 4 bullet Char"/>
    <w:basedOn w:val="DefaultParagraphFont"/>
    <w:link w:val="List4bullet"/>
    <w:rsid w:val="00865C5E"/>
    <w:rPr>
      <w:rFonts w:ascii="Arial" w:eastAsia="Arial" w:hAnsi="Arial" w:cs="Times New Roman"/>
      <w:szCs w:val="24"/>
      <w:lang w:eastAsia="en-US"/>
    </w:rPr>
  </w:style>
  <w:style w:type="paragraph" w:styleId="ListParagraph">
    <w:name w:val="List Paragraph"/>
    <w:next w:val="Normal"/>
    <w:link w:val="ListParagraphChar"/>
    <w:autoRedefine/>
    <w:uiPriority w:val="34"/>
    <w:qFormat/>
    <w:rsid w:val="00966848"/>
    <w:pPr>
      <w:numPr>
        <w:numId w:val="24"/>
      </w:numPr>
      <w:spacing w:before="300" w:line="300" w:lineRule="exact"/>
      <w:contextualSpacing/>
    </w:pPr>
    <w:rPr>
      <w:color w:val="453F43" w:themeColor="background2"/>
      <w:sz w:val="20"/>
      <w:szCs w:val="20"/>
    </w:rPr>
  </w:style>
  <w:style w:type="character" w:customStyle="1" w:styleId="ListParagraphChar">
    <w:name w:val="List Paragraph Char"/>
    <w:basedOn w:val="DefaultParagraphFont"/>
    <w:link w:val="ListParagraph"/>
    <w:uiPriority w:val="34"/>
    <w:rsid w:val="00966848"/>
    <w:rPr>
      <w:color w:val="453F43" w:themeColor="background2"/>
      <w:sz w:val="20"/>
      <w:szCs w:val="20"/>
    </w:rPr>
  </w:style>
  <w:style w:type="paragraph" w:styleId="TOCHeading">
    <w:name w:val="TOC Heading"/>
    <w:basedOn w:val="Heading1"/>
    <w:next w:val="Normal"/>
    <w:uiPriority w:val="39"/>
    <w:unhideWhenUsed/>
    <w:qFormat/>
    <w:rsid w:val="00566457"/>
    <w:pPr>
      <w:spacing w:before="480" w:line="280" w:lineRule="exact"/>
      <w:outlineLvl w:val="9"/>
    </w:pPr>
    <w:rPr>
      <w:sz w:val="32"/>
    </w:rPr>
  </w:style>
  <w:style w:type="paragraph" w:customStyle="1" w:styleId="Format">
    <w:name w:val="Format"/>
    <w:next w:val="Normal"/>
    <w:autoRedefine/>
    <w:qFormat/>
    <w:rsid w:val="000A1686"/>
    <w:rPr>
      <w:rFonts w:eastAsiaTheme="majorEastAsia" w:cstheme="majorBidi"/>
      <w:color w:val="FFFFFF" w:themeColor="background1"/>
    </w:rPr>
  </w:style>
  <w:style w:type="paragraph" w:customStyle="1" w:styleId="Heading1withsubhead">
    <w:name w:val="Heading 1 (with subhead)"/>
    <w:basedOn w:val="Heading1"/>
    <w:next w:val="Normal"/>
    <w:link w:val="Heading1withsubheadChar"/>
    <w:autoRedefine/>
    <w:qFormat/>
    <w:rsid w:val="00053053"/>
    <w:pPr>
      <w:spacing w:after="200"/>
    </w:pPr>
    <w:rPr>
      <w:bCs w:val="0"/>
    </w:rPr>
  </w:style>
  <w:style w:type="character" w:customStyle="1" w:styleId="Heading1withsubheadChar">
    <w:name w:val="Heading 1 (with subhead) Char"/>
    <w:basedOn w:val="DefaultParagraphFont"/>
    <w:link w:val="Heading1withsubhead"/>
    <w:rsid w:val="00053053"/>
    <w:rPr>
      <w:rFonts w:asciiTheme="majorHAnsi" w:eastAsiaTheme="majorEastAsia" w:hAnsiTheme="majorHAnsi" w:cstheme="majorBidi"/>
      <w:b/>
      <w:color w:val="008ACC" w:themeColor="text2"/>
      <w:sz w:val="60"/>
      <w:szCs w:val="32"/>
    </w:rPr>
  </w:style>
  <w:style w:type="paragraph" w:customStyle="1" w:styleId="FigureTitle">
    <w:name w:val="Figure Title"/>
    <w:basedOn w:val="Normal"/>
    <w:next w:val="Normal"/>
    <w:autoRedefine/>
    <w:qFormat/>
    <w:rsid w:val="00BB033F"/>
    <w:pPr>
      <w:pBdr>
        <w:top w:val="single" w:sz="8" w:space="10" w:color="008ACC" w:themeColor="text2"/>
      </w:pBdr>
      <w:spacing w:after="140" w:line="300" w:lineRule="exact"/>
    </w:pPr>
    <w:rPr>
      <w:b/>
      <w:szCs w:val="20"/>
    </w:rPr>
  </w:style>
  <w:style w:type="paragraph" w:customStyle="1" w:styleId="Quotetext">
    <w:name w:val="Quote text"/>
    <w:basedOn w:val="Normal"/>
    <w:next w:val="Normal"/>
    <w:autoRedefine/>
    <w:qFormat/>
    <w:rsid w:val="006A16BE"/>
    <w:pPr>
      <w:pBdr>
        <w:top w:val="single" w:sz="8" w:space="7" w:color="008ACC" w:themeColor="text2"/>
        <w:bottom w:val="single" w:sz="8" w:space="10" w:color="008ACC" w:themeColor="text2"/>
      </w:pBdr>
      <w:spacing w:before="280" w:after="280" w:line="340" w:lineRule="exact"/>
      <w:ind w:left="567"/>
    </w:pPr>
    <w:rPr>
      <w:b/>
      <w:color w:val="0072B2" w:themeColor="accent4"/>
      <w:sz w:val="22"/>
    </w:rPr>
  </w:style>
  <w:style w:type="character" w:customStyle="1" w:styleId="Link">
    <w:name w:val="Link"/>
    <w:basedOn w:val="DefaultParagraphFont"/>
    <w:autoRedefine/>
    <w:uiPriority w:val="1"/>
    <w:qFormat/>
    <w:rsid w:val="001F08ED"/>
    <w:rPr>
      <w:rFonts w:asciiTheme="minorHAnsi" w:hAnsiTheme="minorHAnsi"/>
      <w:b w:val="0"/>
      <w:bCs w:val="0"/>
      <w:i w:val="0"/>
      <w:iCs w:val="0"/>
      <w:color w:val="453F43" w:themeColor="background2"/>
      <w:sz w:val="20"/>
      <w:szCs w:val="20"/>
      <w:u w:val="single"/>
    </w:rPr>
  </w:style>
  <w:style w:type="paragraph" w:customStyle="1" w:styleId="Source">
    <w:name w:val="Source"/>
    <w:next w:val="Normal"/>
    <w:autoRedefine/>
    <w:qFormat/>
    <w:rsid w:val="0025301F"/>
    <w:pPr>
      <w:pBdr>
        <w:bottom w:val="single" w:sz="8" w:space="10" w:color="008ACC" w:themeColor="text2"/>
      </w:pBdr>
      <w:spacing w:before="120" w:after="220" w:line="220" w:lineRule="exact"/>
    </w:pPr>
    <w:rPr>
      <w:color w:val="453F43" w:themeColor="background2"/>
      <w:sz w:val="16"/>
      <w:szCs w:val="16"/>
    </w:rPr>
  </w:style>
  <w:style w:type="paragraph" w:customStyle="1" w:styleId="BoxStyle">
    <w:name w:val="Box Style"/>
    <w:basedOn w:val="Quotetext"/>
    <w:next w:val="Normal"/>
    <w:autoRedefine/>
    <w:qFormat/>
    <w:rsid w:val="001F08ED"/>
    <w:pPr>
      <w:pBdr>
        <w:top w:val="none" w:sz="0" w:space="0" w:color="auto"/>
      </w:pBdr>
      <w:spacing w:line="300" w:lineRule="exact"/>
    </w:pPr>
    <w:rPr>
      <w:b w:val="0"/>
      <w:color w:val="453F43" w:themeColor="background2"/>
      <w:sz w:val="20"/>
    </w:rPr>
  </w:style>
  <w:style w:type="paragraph" w:customStyle="1" w:styleId="Boxtitle">
    <w:name w:val="Box title"/>
    <w:basedOn w:val="FigureTitle"/>
    <w:next w:val="Normal"/>
    <w:autoRedefine/>
    <w:qFormat/>
    <w:rsid w:val="001F08ED"/>
    <w:pPr>
      <w:ind w:left="567"/>
    </w:pPr>
    <w:rPr>
      <w:bCs/>
      <w:sz w:val="24"/>
      <w:szCs w:val="24"/>
    </w:rPr>
  </w:style>
  <w:style w:type="paragraph" w:customStyle="1" w:styleId="Tabletitle">
    <w:name w:val="Table title"/>
    <w:basedOn w:val="FigureTitle"/>
    <w:next w:val="Normal"/>
    <w:autoRedefine/>
    <w:qFormat/>
    <w:rsid w:val="00BB033F"/>
    <w:pPr>
      <w:spacing w:after="0" w:line="340" w:lineRule="exact"/>
    </w:pPr>
    <w:rPr>
      <w:bCs/>
      <w:lang w:eastAsia="en-GB"/>
    </w:rPr>
  </w:style>
  <w:style w:type="paragraph" w:customStyle="1" w:styleId="ListParagraphnumbers">
    <w:name w:val="List Paragraph (numbers)"/>
    <w:basedOn w:val="ListParagraph"/>
    <w:next w:val="Normal"/>
    <w:link w:val="ListParagraphnumbersChar"/>
    <w:autoRedefine/>
    <w:qFormat/>
    <w:rsid w:val="00387F70"/>
    <w:pPr>
      <w:numPr>
        <w:numId w:val="19"/>
      </w:numPr>
      <w:spacing w:before="0" w:after="200"/>
      <w:ind w:left="357" w:hanging="357"/>
    </w:pPr>
  </w:style>
  <w:style w:type="character" w:customStyle="1" w:styleId="ListParagraphnumbersChar">
    <w:name w:val="List Paragraph (numbers) Char"/>
    <w:basedOn w:val="ListParagraphChar"/>
    <w:link w:val="ListParagraphnumbers"/>
    <w:rsid w:val="00387F70"/>
    <w:rPr>
      <w:color w:val="453F43" w:themeColor="background2"/>
      <w:sz w:val="20"/>
      <w:szCs w:val="20"/>
    </w:rPr>
  </w:style>
  <w:style w:type="paragraph" w:customStyle="1" w:styleId="TableHead">
    <w:name w:val="Table Head"/>
    <w:next w:val="Normal"/>
    <w:autoRedefine/>
    <w:qFormat/>
    <w:rsid w:val="0068302D"/>
    <w:pPr>
      <w:framePr w:hSpace="180" w:wrap="around" w:vAnchor="text" w:hAnchor="page" w:x="2266" w:y="865"/>
      <w:spacing w:after="40" w:line="260" w:lineRule="exact"/>
    </w:pPr>
    <w:rPr>
      <w:rFonts w:ascii="Arial" w:eastAsia="Arial" w:hAnsi="Arial"/>
      <w:bCs/>
      <w:color w:val="FFFFFF" w:themeColor="background1"/>
      <w:sz w:val="20"/>
      <w:szCs w:val="20"/>
      <w:lang w:eastAsia="en-GB"/>
    </w:rPr>
  </w:style>
  <w:style w:type="paragraph" w:customStyle="1" w:styleId="Tabletext">
    <w:name w:val="Table text"/>
    <w:next w:val="Normal"/>
    <w:autoRedefine/>
    <w:qFormat/>
    <w:rsid w:val="00582C7D"/>
    <w:pPr>
      <w:framePr w:hSpace="180" w:wrap="around" w:vAnchor="text" w:hAnchor="page" w:x="1555" w:y="305"/>
      <w:spacing w:before="120" w:after="120" w:line="260" w:lineRule="exact"/>
    </w:pPr>
    <w:rPr>
      <w:color w:val="453F43" w:themeColor="background2"/>
      <w:sz w:val="18"/>
      <w:szCs w:val="22"/>
    </w:rPr>
  </w:style>
  <w:style w:type="paragraph" w:customStyle="1" w:styleId="ReportTitle">
    <w:name w:val="Report Title"/>
    <w:basedOn w:val="Heading1"/>
    <w:next w:val="Normal"/>
    <w:autoRedefine/>
    <w:qFormat/>
    <w:rsid w:val="005D79B8"/>
    <w:pPr>
      <w:spacing w:after="300" w:line="800" w:lineRule="exact"/>
    </w:pPr>
    <w:rPr>
      <w:color w:val="FFFFFF" w:themeColor="background1"/>
      <w:sz w:val="80"/>
    </w:rPr>
  </w:style>
  <w:style w:type="paragraph" w:customStyle="1" w:styleId="Dateofpublication">
    <w:name w:val="Date of publication"/>
    <w:next w:val="Normal"/>
    <w:autoRedefine/>
    <w:qFormat/>
    <w:rsid w:val="001F08ED"/>
    <w:pPr>
      <w:spacing w:after="240"/>
    </w:pPr>
    <w:rPr>
      <w:rFonts w:eastAsiaTheme="majorEastAsia" w:cstheme="majorBidi"/>
      <w:bCs/>
      <w:color w:val="FFFFFF" w:themeColor="background1"/>
      <w:szCs w:val="32"/>
    </w:rPr>
  </w:style>
  <w:style w:type="paragraph" w:customStyle="1" w:styleId="Reportsubtitle">
    <w:name w:val="Report subtitle"/>
    <w:basedOn w:val="ReportTitle"/>
    <w:next w:val="Normal"/>
    <w:autoRedefine/>
    <w:qFormat/>
    <w:rsid w:val="001F08ED"/>
    <w:pPr>
      <w:spacing w:line="240" w:lineRule="auto"/>
    </w:pPr>
    <w:rPr>
      <w:b w:val="0"/>
      <w:sz w:val="32"/>
    </w:rPr>
  </w:style>
  <w:style w:type="paragraph" w:customStyle="1" w:styleId="Tablesubhead">
    <w:name w:val="Table subhead"/>
    <w:basedOn w:val="Tabletext"/>
    <w:next w:val="Normal"/>
    <w:autoRedefine/>
    <w:qFormat/>
    <w:rsid w:val="001F08ED"/>
    <w:pPr>
      <w:framePr w:wrap="around"/>
    </w:pPr>
    <w:rPr>
      <w:rFonts w:eastAsia="Arial"/>
      <w:b/>
      <w:color w:val="0072B2" w:themeColor="accent4"/>
      <w:sz w:val="20"/>
      <w:lang w:eastAsia="en-GB"/>
    </w:rPr>
  </w:style>
  <w:style w:type="paragraph" w:customStyle="1" w:styleId="Tabletextwithbullets">
    <w:name w:val="Table text with bullets"/>
    <w:basedOn w:val="Tabletext"/>
    <w:next w:val="Normal"/>
    <w:autoRedefine/>
    <w:qFormat/>
    <w:rsid w:val="001F08ED"/>
    <w:pPr>
      <w:framePr w:wrap="around"/>
      <w:numPr>
        <w:numId w:val="26"/>
      </w:numPr>
    </w:pPr>
    <w:rPr>
      <w:szCs w:val="18"/>
    </w:rPr>
  </w:style>
  <w:style w:type="paragraph" w:customStyle="1" w:styleId="Tablesource">
    <w:name w:val="Table source"/>
    <w:basedOn w:val="Tabletext"/>
    <w:next w:val="Normal"/>
    <w:qFormat/>
    <w:rsid w:val="001F08ED"/>
    <w:pPr>
      <w:framePr w:wrap="around"/>
    </w:pPr>
    <w:rPr>
      <w:color w:val="92888F" w:themeColor="background2" w:themeTint="99"/>
      <w:sz w:val="16"/>
    </w:rPr>
  </w:style>
  <w:style w:type="paragraph" w:customStyle="1" w:styleId="Endnotesheading">
    <w:name w:val="Endnotes heading"/>
    <w:basedOn w:val="Heading1"/>
    <w:next w:val="Normal"/>
    <w:link w:val="EndnotesheadingChar"/>
    <w:autoRedefine/>
    <w:qFormat/>
    <w:rsid w:val="001F08ED"/>
    <w:pPr>
      <w:spacing w:after="600"/>
    </w:pPr>
  </w:style>
  <w:style w:type="character" w:customStyle="1" w:styleId="EndnotesheadingChar">
    <w:name w:val="Endnotes heading Char"/>
    <w:basedOn w:val="Heading1Char"/>
    <w:link w:val="Endnotesheading"/>
    <w:rsid w:val="001F08ED"/>
    <w:rPr>
      <w:rFonts w:asciiTheme="majorHAnsi" w:eastAsiaTheme="majorEastAsia" w:hAnsiTheme="majorHAnsi" w:cstheme="majorBidi"/>
      <w:b/>
      <w:bCs/>
      <w:color w:val="008ACC" w:themeColor="text2"/>
      <w:sz w:val="60"/>
      <w:szCs w:val="32"/>
      <w:shd w:val="clear" w:color="auto" w:fill="000000"/>
    </w:rPr>
  </w:style>
  <w:style w:type="paragraph" w:customStyle="1" w:styleId="Acronymtext">
    <w:name w:val="Acronym text"/>
    <w:basedOn w:val="Normal"/>
    <w:next w:val="Normal"/>
    <w:autoRedefine/>
    <w:qFormat/>
    <w:rsid w:val="001F08ED"/>
    <w:pPr>
      <w:tabs>
        <w:tab w:val="left" w:pos="851"/>
      </w:tabs>
      <w:spacing w:before="0"/>
      <w:contextualSpacing/>
    </w:pPr>
    <w:rPr>
      <w:sz w:val="18"/>
    </w:rPr>
  </w:style>
  <w:style w:type="paragraph" w:customStyle="1" w:styleId="Backpagetext">
    <w:name w:val="Back page text"/>
    <w:basedOn w:val="Normal"/>
    <w:next w:val="Normal"/>
    <w:qFormat/>
    <w:rsid w:val="001F08ED"/>
    <w:pPr>
      <w:keepLines/>
      <w:spacing w:before="0" w:after="300" w:line="240" w:lineRule="exact"/>
    </w:pPr>
    <w:rPr>
      <w:sz w:val="16"/>
      <w:szCs w:val="18"/>
    </w:rPr>
  </w:style>
  <w:style w:type="paragraph" w:customStyle="1" w:styleId="Boxsubtitle">
    <w:name w:val="Box subtitle"/>
    <w:basedOn w:val="Boxtitle"/>
    <w:next w:val="Normal"/>
    <w:autoRedefine/>
    <w:qFormat/>
    <w:rsid w:val="001F08ED"/>
    <w:pPr>
      <w:spacing w:before="0"/>
    </w:pPr>
    <w:rPr>
      <w:b w:val="0"/>
    </w:rPr>
  </w:style>
  <w:style w:type="paragraph" w:customStyle="1" w:styleId="Heading1Subhead">
    <w:name w:val="Heading 1 (Subhead)"/>
    <w:next w:val="Normal"/>
    <w:autoRedefine/>
    <w:qFormat/>
    <w:rsid w:val="001F08ED"/>
    <w:pPr>
      <w:spacing w:after="1200" w:line="510" w:lineRule="exact"/>
    </w:pPr>
    <w:rPr>
      <w:rFonts w:asciiTheme="majorHAnsi" w:eastAsiaTheme="majorEastAsia" w:hAnsiTheme="majorHAnsi" w:cstheme="majorBidi"/>
      <w:bCs/>
      <w:color w:val="008ACC" w:themeColor="text2"/>
      <w:sz w:val="40"/>
      <w:szCs w:val="26"/>
    </w:rPr>
  </w:style>
  <w:style w:type="table" w:customStyle="1" w:styleId="DItable">
    <w:name w:val="DI table"/>
    <w:basedOn w:val="TableNormal"/>
    <w:uiPriority w:val="99"/>
    <w:qFormat/>
    <w:rsid w:val="00584375"/>
    <w:pPr>
      <w:spacing w:before="120" w:after="120"/>
    </w:pPr>
    <w:rPr>
      <w:rFonts w:eastAsia="Arial"/>
      <w:color w:val="453F43"/>
      <w:sz w:val="18"/>
      <w:szCs w:val="22"/>
      <w:lang w:eastAsia="en-GB"/>
    </w:rPr>
    <w:tblPr>
      <w:tblBorders>
        <w:bottom w:val="single" w:sz="8" w:space="0" w:color="E8443A"/>
        <w:insideH w:val="single" w:sz="8" w:space="0" w:color="E8443A"/>
      </w:tblBorders>
    </w:tblPr>
    <w:tcPr>
      <w:shd w:val="clear" w:color="auto" w:fill="auto"/>
    </w:tcPr>
    <w:tblStylePr w:type="firstRow">
      <w:pPr>
        <w:wordWrap/>
        <w:spacing w:beforeLines="0" w:beforeAutospacing="0" w:afterLines="0" w:afterAutospacing="0" w:line="240" w:lineRule="auto"/>
      </w:pPr>
      <w:rPr>
        <w:rFonts w:ascii="Arial" w:hAnsi="Arial"/>
        <w:b/>
        <w:color w:val="FFFFFF"/>
        <w:sz w:val="20"/>
      </w:rPr>
      <w:tblPr/>
      <w:tcPr>
        <w:shd w:val="clear" w:color="auto" w:fill="BD2729"/>
      </w:tcPr>
    </w:tblStylePr>
    <w:tblStylePr w:type="lastRow">
      <w:rPr>
        <w:rFonts w:ascii="Arial" w:hAnsi="Arial"/>
        <w:color w:val="453F43"/>
        <w:sz w:val="18"/>
      </w:rPr>
      <w:tblPr/>
      <w:tcPr>
        <w:tcBorders>
          <w:insideH w:val="nil"/>
        </w:tcBorders>
        <w:shd w:val="clear" w:color="auto" w:fill="FFFFFF"/>
      </w:tcPr>
    </w:tblStylePr>
    <w:tblStylePr w:type="firstCol">
      <w:rPr>
        <w:b w:val="0"/>
      </w:rPr>
    </w:tblStylePr>
  </w:style>
  <w:style w:type="paragraph" w:styleId="BalloonText">
    <w:name w:val="Balloon Text"/>
    <w:basedOn w:val="Normal"/>
    <w:link w:val="BalloonTextChar"/>
    <w:uiPriority w:val="99"/>
    <w:semiHidden/>
    <w:unhideWhenUsed/>
    <w:rsid w:val="0058437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375"/>
    <w:rPr>
      <w:rFonts w:ascii="Segoe UI" w:hAnsi="Segoe UI" w:cs="Segoe UI"/>
      <w:color w:val="453F43" w:themeColor="background2"/>
      <w:sz w:val="18"/>
      <w:szCs w:val="18"/>
    </w:rPr>
  </w:style>
  <w:style w:type="paragraph" w:styleId="Header">
    <w:name w:val="header"/>
    <w:basedOn w:val="Normal"/>
    <w:link w:val="HeaderChar"/>
    <w:uiPriority w:val="99"/>
    <w:unhideWhenUsed/>
    <w:rsid w:val="00065D1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65D10"/>
    <w:rPr>
      <w:rFonts w:ascii="Arial" w:hAnsi="Arial"/>
      <w:color w:val="453F43" w:themeColor="background2"/>
      <w:sz w:val="20"/>
      <w:szCs w:val="22"/>
    </w:rPr>
  </w:style>
  <w:style w:type="character" w:styleId="PlaceholderText">
    <w:name w:val="Placeholder Text"/>
    <w:basedOn w:val="DefaultParagraphFont"/>
    <w:uiPriority w:val="99"/>
    <w:semiHidden/>
    <w:rsid w:val="00236CCF"/>
    <w:rPr>
      <w:color w:val="808080"/>
    </w:rPr>
  </w:style>
  <w:style w:type="paragraph" w:styleId="NormalWeb">
    <w:name w:val="Normal (Web)"/>
    <w:basedOn w:val="Normal"/>
    <w:uiPriority w:val="99"/>
    <w:unhideWhenUsed/>
    <w:rsid w:val="00BA228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semiHidden/>
    <w:unhideWhenUsed/>
    <w:rsid w:val="007B1877"/>
    <w:rPr>
      <w:color w:val="6B656A" w:themeColor="followedHyperlink"/>
      <w:u w:val="single"/>
    </w:rPr>
  </w:style>
  <w:style w:type="character" w:customStyle="1" w:styleId="UnresolvedMention1">
    <w:name w:val="Unresolved Mention1"/>
    <w:basedOn w:val="DefaultParagraphFont"/>
    <w:uiPriority w:val="99"/>
    <w:semiHidden/>
    <w:unhideWhenUsed/>
    <w:rsid w:val="007B1877"/>
    <w:rPr>
      <w:color w:val="605E5C"/>
      <w:shd w:val="clear" w:color="auto" w:fill="E1DFDD"/>
    </w:rPr>
  </w:style>
  <w:style w:type="character" w:styleId="CommentReference">
    <w:name w:val="annotation reference"/>
    <w:basedOn w:val="DefaultParagraphFont"/>
    <w:uiPriority w:val="99"/>
    <w:semiHidden/>
    <w:unhideWhenUsed/>
    <w:rsid w:val="00516E20"/>
    <w:rPr>
      <w:sz w:val="16"/>
      <w:szCs w:val="16"/>
    </w:rPr>
  </w:style>
  <w:style w:type="paragraph" w:styleId="CommentText">
    <w:name w:val="annotation text"/>
    <w:basedOn w:val="Normal"/>
    <w:link w:val="CommentTextChar"/>
    <w:uiPriority w:val="99"/>
    <w:semiHidden/>
    <w:unhideWhenUsed/>
    <w:rsid w:val="00516E20"/>
    <w:pPr>
      <w:spacing w:line="240" w:lineRule="auto"/>
    </w:pPr>
    <w:rPr>
      <w:szCs w:val="20"/>
    </w:rPr>
  </w:style>
  <w:style w:type="character" w:customStyle="1" w:styleId="CommentTextChar">
    <w:name w:val="Comment Text Char"/>
    <w:basedOn w:val="DefaultParagraphFont"/>
    <w:link w:val="CommentText"/>
    <w:uiPriority w:val="99"/>
    <w:semiHidden/>
    <w:rsid w:val="00516E20"/>
    <w:rPr>
      <w:rFonts w:ascii="Arial" w:hAnsi="Arial"/>
      <w:color w:val="453F43" w:themeColor="background2"/>
      <w:sz w:val="20"/>
      <w:szCs w:val="20"/>
    </w:rPr>
  </w:style>
  <w:style w:type="paragraph" w:styleId="CommentSubject">
    <w:name w:val="annotation subject"/>
    <w:basedOn w:val="CommentText"/>
    <w:next w:val="CommentText"/>
    <w:link w:val="CommentSubjectChar"/>
    <w:uiPriority w:val="99"/>
    <w:semiHidden/>
    <w:unhideWhenUsed/>
    <w:rsid w:val="00516E20"/>
    <w:rPr>
      <w:b/>
      <w:bCs/>
    </w:rPr>
  </w:style>
  <w:style w:type="character" w:customStyle="1" w:styleId="CommentSubjectChar">
    <w:name w:val="Comment Subject Char"/>
    <w:basedOn w:val="CommentTextChar"/>
    <w:link w:val="CommentSubject"/>
    <w:uiPriority w:val="99"/>
    <w:semiHidden/>
    <w:rsid w:val="00516E20"/>
    <w:rPr>
      <w:rFonts w:ascii="Arial" w:hAnsi="Arial"/>
      <w:b/>
      <w:bCs/>
      <w:color w:val="453F43" w:themeColor="background2"/>
      <w:sz w:val="20"/>
      <w:szCs w:val="20"/>
    </w:rPr>
  </w:style>
  <w:style w:type="paragraph" w:styleId="Revision">
    <w:name w:val="Revision"/>
    <w:hidden/>
    <w:uiPriority w:val="99"/>
    <w:semiHidden/>
    <w:rsid w:val="00901E50"/>
    <w:rPr>
      <w:rFonts w:ascii="Arial" w:hAnsi="Arial"/>
      <w:color w:val="453F43" w:themeColor="background2"/>
      <w:sz w:val="20"/>
      <w:szCs w:val="22"/>
    </w:rPr>
  </w:style>
  <w:style w:type="character" w:customStyle="1" w:styleId="page-headertitlecontent">
    <w:name w:val="page-header__title__content"/>
    <w:basedOn w:val="DefaultParagraphFont"/>
    <w:rsid w:val="00CB1081"/>
  </w:style>
  <w:style w:type="character" w:styleId="Emphasis">
    <w:name w:val="Emphasis"/>
    <w:basedOn w:val="DefaultParagraphFont"/>
    <w:uiPriority w:val="20"/>
    <w:qFormat/>
    <w:rsid w:val="00B0035C"/>
    <w:rPr>
      <w:i/>
      <w:iCs/>
    </w:rPr>
  </w:style>
  <w:style w:type="character" w:styleId="Strong">
    <w:name w:val="Strong"/>
    <w:basedOn w:val="DefaultParagraphFont"/>
    <w:uiPriority w:val="22"/>
    <w:qFormat/>
    <w:rsid w:val="00847155"/>
    <w:rPr>
      <w:b/>
      <w:bCs/>
    </w:rPr>
  </w:style>
  <w:style w:type="table" w:styleId="TableGrid">
    <w:name w:val="Table Grid"/>
    <w:basedOn w:val="TableNormal"/>
    <w:uiPriority w:val="59"/>
    <w:rsid w:val="00B84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2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434">
      <w:bodyDiv w:val="1"/>
      <w:marLeft w:val="0"/>
      <w:marRight w:val="0"/>
      <w:marTop w:val="0"/>
      <w:marBottom w:val="0"/>
      <w:divBdr>
        <w:top w:val="none" w:sz="0" w:space="0" w:color="auto"/>
        <w:left w:val="none" w:sz="0" w:space="0" w:color="auto"/>
        <w:bottom w:val="none" w:sz="0" w:space="0" w:color="auto"/>
        <w:right w:val="none" w:sz="0" w:space="0" w:color="auto"/>
      </w:divBdr>
      <w:divsChild>
        <w:div w:id="1433820500">
          <w:marLeft w:val="-115"/>
          <w:marRight w:val="0"/>
          <w:marTop w:val="0"/>
          <w:marBottom w:val="0"/>
          <w:divBdr>
            <w:top w:val="none" w:sz="0" w:space="0" w:color="auto"/>
            <w:left w:val="none" w:sz="0" w:space="0" w:color="auto"/>
            <w:bottom w:val="none" w:sz="0" w:space="0" w:color="auto"/>
            <w:right w:val="none" w:sz="0" w:space="0" w:color="auto"/>
          </w:divBdr>
        </w:div>
      </w:divsChild>
    </w:div>
    <w:div w:id="8676805">
      <w:bodyDiv w:val="1"/>
      <w:marLeft w:val="0"/>
      <w:marRight w:val="0"/>
      <w:marTop w:val="0"/>
      <w:marBottom w:val="0"/>
      <w:divBdr>
        <w:top w:val="none" w:sz="0" w:space="0" w:color="auto"/>
        <w:left w:val="none" w:sz="0" w:space="0" w:color="auto"/>
        <w:bottom w:val="none" w:sz="0" w:space="0" w:color="auto"/>
        <w:right w:val="none" w:sz="0" w:space="0" w:color="auto"/>
      </w:divBdr>
    </w:div>
    <w:div w:id="68692657">
      <w:bodyDiv w:val="1"/>
      <w:marLeft w:val="0"/>
      <w:marRight w:val="0"/>
      <w:marTop w:val="0"/>
      <w:marBottom w:val="0"/>
      <w:divBdr>
        <w:top w:val="none" w:sz="0" w:space="0" w:color="auto"/>
        <w:left w:val="none" w:sz="0" w:space="0" w:color="auto"/>
        <w:bottom w:val="none" w:sz="0" w:space="0" w:color="auto"/>
        <w:right w:val="none" w:sz="0" w:space="0" w:color="auto"/>
      </w:divBdr>
    </w:div>
    <w:div w:id="80100847">
      <w:bodyDiv w:val="1"/>
      <w:marLeft w:val="0"/>
      <w:marRight w:val="0"/>
      <w:marTop w:val="0"/>
      <w:marBottom w:val="0"/>
      <w:divBdr>
        <w:top w:val="none" w:sz="0" w:space="0" w:color="auto"/>
        <w:left w:val="none" w:sz="0" w:space="0" w:color="auto"/>
        <w:bottom w:val="none" w:sz="0" w:space="0" w:color="auto"/>
        <w:right w:val="none" w:sz="0" w:space="0" w:color="auto"/>
      </w:divBdr>
      <w:divsChild>
        <w:div w:id="2074425992">
          <w:marLeft w:val="-115"/>
          <w:marRight w:val="0"/>
          <w:marTop w:val="0"/>
          <w:marBottom w:val="0"/>
          <w:divBdr>
            <w:top w:val="none" w:sz="0" w:space="0" w:color="auto"/>
            <w:left w:val="none" w:sz="0" w:space="0" w:color="auto"/>
            <w:bottom w:val="none" w:sz="0" w:space="0" w:color="auto"/>
            <w:right w:val="none" w:sz="0" w:space="0" w:color="auto"/>
          </w:divBdr>
        </w:div>
      </w:divsChild>
    </w:div>
    <w:div w:id="87308671">
      <w:bodyDiv w:val="1"/>
      <w:marLeft w:val="0"/>
      <w:marRight w:val="0"/>
      <w:marTop w:val="0"/>
      <w:marBottom w:val="0"/>
      <w:divBdr>
        <w:top w:val="none" w:sz="0" w:space="0" w:color="auto"/>
        <w:left w:val="none" w:sz="0" w:space="0" w:color="auto"/>
        <w:bottom w:val="none" w:sz="0" w:space="0" w:color="auto"/>
        <w:right w:val="none" w:sz="0" w:space="0" w:color="auto"/>
      </w:divBdr>
    </w:div>
    <w:div w:id="99884352">
      <w:bodyDiv w:val="1"/>
      <w:marLeft w:val="0"/>
      <w:marRight w:val="0"/>
      <w:marTop w:val="0"/>
      <w:marBottom w:val="0"/>
      <w:divBdr>
        <w:top w:val="none" w:sz="0" w:space="0" w:color="auto"/>
        <w:left w:val="none" w:sz="0" w:space="0" w:color="auto"/>
        <w:bottom w:val="none" w:sz="0" w:space="0" w:color="auto"/>
        <w:right w:val="none" w:sz="0" w:space="0" w:color="auto"/>
      </w:divBdr>
    </w:div>
    <w:div w:id="111486633">
      <w:bodyDiv w:val="1"/>
      <w:marLeft w:val="0"/>
      <w:marRight w:val="0"/>
      <w:marTop w:val="0"/>
      <w:marBottom w:val="0"/>
      <w:divBdr>
        <w:top w:val="none" w:sz="0" w:space="0" w:color="auto"/>
        <w:left w:val="none" w:sz="0" w:space="0" w:color="auto"/>
        <w:bottom w:val="none" w:sz="0" w:space="0" w:color="auto"/>
        <w:right w:val="none" w:sz="0" w:space="0" w:color="auto"/>
      </w:divBdr>
    </w:div>
    <w:div w:id="127674342">
      <w:bodyDiv w:val="1"/>
      <w:marLeft w:val="0"/>
      <w:marRight w:val="0"/>
      <w:marTop w:val="0"/>
      <w:marBottom w:val="0"/>
      <w:divBdr>
        <w:top w:val="none" w:sz="0" w:space="0" w:color="auto"/>
        <w:left w:val="none" w:sz="0" w:space="0" w:color="auto"/>
        <w:bottom w:val="none" w:sz="0" w:space="0" w:color="auto"/>
        <w:right w:val="none" w:sz="0" w:space="0" w:color="auto"/>
      </w:divBdr>
    </w:div>
    <w:div w:id="190728260">
      <w:bodyDiv w:val="1"/>
      <w:marLeft w:val="0"/>
      <w:marRight w:val="0"/>
      <w:marTop w:val="0"/>
      <w:marBottom w:val="0"/>
      <w:divBdr>
        <w:top w:val="none" w:sz="0" w:space="0" w:color="auto"/>
        <w:left w:val="none" w:sz="0" w:space="0" w:color="auto"/>
        <w:bottom w:val="none" w:sz="0" w:space="0" w:color="auto"/>
        <w:right w:val="none" w:sz="0" w:space="0" w:color="auto"/>
      </w:divBdr>
    </w:div>
    <w:div w:id="218591068">
      <w:bodyDiv w:val="1"/>
      <w:marLeft w:val="0"/>
      <w:marRight w:val="0"/>
      <w:marTop w:val="0"/>
      <w:marBottom w:val="0"/>
      <w:divBdr>
        <w:top w:val="none" w:sz="0" w:space="0" w:color="auto"/>
        <w:left w:val="none" w:sz="0" w:space="0" w:color="auto"/>
        <w:bottom w:val="none" w:sz="0" w:space="0" w:color="auto"/>
        <w:right w:val="none" w:sz="0" w:space="0" w:color="auto"/>
      </w:divBdr>
    </w:div>
    <w:div w:id="237445693">
      <w:bodyDiv w:val="1"/>
      <w:marLeft w:val="0"/>
      <w:marRight w:val="0"/>
      <w:marTop w:val="0"/>
      <w:marBottom w:val="0"/>
      <w:divBdr>
        <w:top w:val="none" w:sz="0" w:space="0" w:color="auto"/>
        <w:left w:val="none" w:sz="0" w:space="0" w:color="auto"/>
        <w:bottom w:val="none" w:sz="0" w:space="0" w:color="auto"/>
        <w:right w:val="none" w:sz="0" w:space="0" w:color="auto"/>
      </w:divBdr>
    </w:div>
    <w:div w:id="252668664">
      <w:bodyDiv w:val="1"/>
      <w:marLeft w:val="0"/>
      <w:marRight w:val="0"/>
      <w:marTop w:val="0"/>
      <w:marBottom w:val="0"/>
      <w:divBdr>
        <w:top w:val="none" w:sz="0" w:space="0" w:color="auto"/>
        <w:left w:val="none" w:sz="0" w:space="0" w:color="auto"/>
        <w:bottom w:val="none" w:sz="0" w:space="0" w:color="auto"/>
        <w:right w:val="none" w:sz="0" w:space="0" w:color="auto"/>
      </w:divBdr>
    </w:div>
    <w:div w:id="284044102">
      <w:bodyDiv w:val="1"/>
      <w:marLeft w:val="0"/>
      <w:marRight w:val="0"/>
      <w:marTop w:val="0"/>
      <w:marBottom w:val="0"/>
      <w:divBdr>
        <w:top w:val="none" w:sz="0" w:space="0" w:color="auto"/>
        <w:left w:val="none" w:sz="0" w:space="0" w:color="auto"/>
        <w:bottom w:val="none" w:sz="0" w:space="0" w:color="auto"/>
        <w:right w:val="none" w:sz="0" w:space="0" w:color="auto"/>
      </w:divBdr>
    </w:div>
    <w:div w:id="285242207">
      <w:bodyDiv w:val="1"/>
      <w:marLeft w:val="0"/>
      <w:marRight w:val="0"/>
      <w:marTop w:val="0"/>
      <w:marBottom w:val="0"/>
      <w:divBdr>
        <w:top w:val="none" w:sz="0" w:space="0" w:color="auto"/>
        <w:left w:val="none" w:sz="0" w:space="0" w:color="auto"/>
        <w:bottom w:val="none" w:sz="0" w:space="0" w:color="auto"/>
        <w:right w:val="none" w:sz="0" w:space="0" w:color="auto"/>
      </w:divBdr>
    </w:div>
    <w:div w:id="303433699">
      <w:bodyDiv w:val="1"/>
      <w:marLeft w:val="0"/>
      <w:marRight w:val="0"/>
      <w:marTop w:val="0"/>
      <w:marBottom w:val="0"/>
      <w:divBdr>
        <w:top w:val="none" w:sz="0" w:space="0" w:color="auto"/>
        <w:left w:val="none" w:sz="0" w:space="0" w:color="auto"/>
        <w:bottom w:val="none" w:sz="0" w:space="0" w:color="auto"/>
        <w:right w:val="none" w:sz="0" w:space="0" w:color="auto"/>
      </w:divBdr>
    </w:div>
    <w:div w:id="307708248">
      <w:bodyDiv w:val="1"/>
      <w:marLeft w:val="0"/>
      <w:marRight w:val="0"/>
      <w:marTop w:val="0"/>
      <w:marBottom w:val="0"/>
      <w:divBdr>
        <w:top w:val="none" w:sz="0" w:space="0" w:color="auto"/>
        <w:left w:val="none" w:sz="0" w:space="0" w:color="auto"/>
        <w:bottom w:val="none" w:sz="0" w:space="0" w:color="auto"/>
        <w:right w:val="none" w:sz="0" w:space="0" w:color="auto"/>
      </w:divBdr>
    </w:div>
    <w:div w:id="322010714">
      <w:bodyDiv w:val="1"/>
      <w:marLeft w:val="0"/>
      <w:marRight w:val="0"/>
      <w:marTop w:val="0"/>
      <w:marBottom w:val="0"/>
      <w:divBdr>
        <w:top w:val="none" w:sz="0" w:space="0" w:color="auto"/>
        <w:left w:val="none" w:sz="0" w:space="0" w:color="auto"/>
        <w:bottom w:val="none" w:sz="0" w:space="0" w:color="auto"/>
        <w:right w:val="none" w:sz="0" w:space="0" w:color="auto"/>
      </w:divBdr>
    </w:div>
    <w:div w:id="323047356">
      <w:bodyDiv w:val="1"/>
      <w:marLeft w:val="0"/>
      <w:marRight w:val="0"/>
      <w:marTop w:val="0"/>
      <w:marBottom w:val="0"/>
      <w:divBdr>
        <w:top w:val="none" w:sz="0" w:space="0" w:color="auto"/>
        <w:left w:val="none" w:sz="0" w:space="0" w:color="auto"/>
        <w:bottom w:val="none" w:sz="0" w:space="0" w:color="auto"/>
        <w:right w:val="none" w:sz="0" w:space="0" w:color="auto"/>
      </w:divBdr>
      <w:divsChild>
        <w:div w:id="874003731">
          <w:marLeft w:val="-115"/>
          <w:marRight w:val="0"/>
          <w:marTop w:val="0"/>
          <w:marBottom w:val="0"/>
          <w:divBdr>
            <w:top w:val="none" w:sz="0" w:space="0" w:color="auto"/>
            <w:left w:val="none" w:sz="0" w:space="0" w:color="auto"/>
            <w:bottom w:val="none" w:sz="0" w:space="0" w:color="auto"/>
            <w:right w:val="none" w:sz="0" w:space="0" w:color="auto"/>
          </w:divBdr>
        </w:div>
      </w:divsChild>
    </w:div>
    <w:div w:id="334263587">
      <w:bodyDiv w:val="1"/>
      <w:marLeft w:val="0"/>
      <w:marRight w:val="0"/>
      <w:marTop w:val="0"/>
      <w:marBottom w:val="0"/>
      <w:divBdr>
        <w:top w:val="none" w:sz="0" w:space="0" w:color="auto"/>
        <w:left w:val="none" w:sz="0" w:space="0" w:color="auto"/>
        <w:bottom w:val="none" w:sz="0" w:space="0" w:color="auto"/>
        <w:right w:val="none" w:sz="0" w:space="0" w:color="auto"/>
      </w:divBdr>
    </w:div>
    <w:div w:id="380403454">
      <w:bodyDiv w:val="1"/>
      <w:marLeft w:val="0"/>
      <w:marRight w:val="0"/>
      <w:marTop w:val="0"/>
      <w:marBottom w:val="0"/>
      <w:divBdr>
        <w:top w:val="none" w:sz="0" w:space="0" w:color="auto"/>
        <w:left w:val="none" w:sz="0" w:space="0" w:color="auto"/>
        <w:bottom w:val="none" w:sz="0" w:space="0" w:color="auto"/>
        <w:right w:val="none" w:sz="0" w:space="0" w:color="auto"/>
      </w:divBdr>
    </w:div>
    <w:div w:id="382875403">
      <w:bodyDiv w:val="1"/>
      <w:marLeft w:val="0"/>
      <w:marRight w:val="0"/>
      <w:marTop w:val="0"/>
      <w:marBottom w:val="0"/>
      <w:divBdr>
        <w:top w:val="none" w:sz="0" w:space="0" w:color="auto"/>
        <w:left w:val="none" w:sz="0" w:space="0" w:color="auto"/>
        <w:bottom w:val="none" w:sz="0" w:space="0" w:color="auto"/>
        <w:right w:val="none" w:sz="0" w:space="0" w:color="auto"/>
      </w:divBdr>
    </w:div>
    <w:div w:id="384717101">
      <w:bodyDiv w:val="1"/>
      <w:marLeft w:val="0"/>
      <w:marRight w:val="0"/>
      <w:marTop w:val="0"/>
      <w:marBottom w:val="0"/>
      <w:divBdr>
        <w:top w:val="none" w:sz="0" w:space="0" w:color="auto"/>
        <w:left w:val="none" w:sz="0" w:space="0" w:color="auto"/>
        <w:bottom w:val="none" w:sz="0" w:space="0" w:color="auto"/>
        <w:right w:val="none" w:sz="0" w:space="0" w:color="auto"/>
      </w:divBdr>
    </w:div>
    <w:div w:id="392316373">
      <w:bodyDiv w:val="1"/>
      <w:marLeft w:val="0"/>
      <w:marRight w:val="0"/>
      <w:marTop w:val="0"/>
      <w:marBottom w:val="0"/>
      <w:divBdr>
        <w:top w:val="none" w:sz="0" w:space="0" w:color="auto"/>
        <w:left w:val="none" w:sz="0" w:space="0" w:color="auto"/>
        <w:bottom w:val="none" w:sz="0" w:space="0" w:color="auto"/>
        <w:right w:val="none" w:sz="0" w:space="0" w:color="auto"/>
      </w:divBdr>
      <w:divsChild>
        <w:div w:id="628122765">
          <w:marLeft w:val="-115"/>
          <w:marRight w:val="0"/>
          <w:marTop w:val="0"/>
          <w:marBottom w:val="0"/>
          <w:divBdr>
            <w:top w:val="none" w:sz="0" w:space="0" w:color="auto"/>
            <w:left w:val="none" w:sz="0" w:space="0" w:color="auto"/>
            <w:bottom w:val="none" w:sz="0" w:space="0" w:color="auto"/>
            <w:right w:val="none" w:sz="0" w:space="0" w:color="auto"/>
          </w:divBdr>
        </w:div>
      </w:divsChild>
    </w:div>
    <w:div w:id="412243232">
      <w:bodyDiv w:val="1"/>
      <w:marLeft w:val="0"/>
      <w:marRight w:val="0"/>
      <w:marTop w:val="0"/>
      <w:marBottom w:val="0"/>
      <w:divBdr>
        <w:top w:val="none" w:sz="0" w:space="0" w:color="auto"/>
        <w:left w:val="none" w:sz="0" w:space="0" w:color="auto"/>
        <w:bottom w:val="none" w:sz="0" w:space="0" w:color="auto"/>
        <w:right w:val="none" w:sz="0" w:space="0" w:color="auto"/>
      </w:divBdr>
      <w:divsChild>
        <w:div w:id="108279582">
          <w:marLeft w:val="-100"/>
          <w:marRight w:val="0"/>
          <w:marTop w:val="0"/>
          <w:marBottom w:val="0"/>
          <w:divBdr>
            <w:top w:val="none" w:sz="0" w:space="0" w:color="auto"/>
            <w:left w:val="none" w:sz="0" w:space="0" w:color="auto"/>
            <w:bottom w:val="none" w:sz="0" w:space="0" w:color="auto"/>
            <w:right w:val="none" w:sz="0" w:space="0" w:color="auto"/>
          </w:divBdr>
        </w:div>
      </w:divsChild>
    </w:div>
    <w:div w:id="456336508">
      <w:bodyDiv w:val="1"/>
      <w:marLeft w:val="0"/>
      <w:marRight w:val="0"/>
      <w:marTop w:val="0"/>
      <w:marBottom w:val="0"/>
      <w:divBdr>
        <w:top w:val="none" w:sz="0" w:space="0" w:color="auto"/>
        <w:left w:val="none" w:sz="0" w:space="0" w:color="auto"/>
        <w:bottom w:val="none" w:sz="0" w:space="0" w:color="auto"/>
        <w:right w:val="none" w:sz="0" w:space="0" w:color="auto"/>
      </w:divBdr>
    </w:div>
    <w:div w:id="469326751">
      <w:bodyDiv w:val="1"/>
      <w:marLeft w:val="0"/>
      <w:marRight w:val="0"/>
      <w:marTop w:val="0"/>
      <w:marBottom w:val="0"/>
      <w:divBdr>
        <w:top w:val="none" w:sz="0" w:space="0" w:color="auto"/>
        <w:left w:val="none" w:sz="0" w:space="0" w:color="auto"/>
        <w:bottom w:val="none" w:sz="0" w:space="0" w:color="auto"/>
        <w:right w:val="none" w:sz="0" w:space="0" w:color="auto"/>
      </w:divBdr>
    </w:div>
    <w:div w:id="521019967">
      <w:bodyDiv w:val="1"/>
      <w:marLeft w:val="0"/>
      <w:marRight w:val="0"/>
      <w:marTop w:val="0"/>
      <w:marBottom w:val="0"/>
      <w:divBdr>
        <w:top w:val="none" w:sz="0" w:space="0" w:color="auto"/>
        <w:left w:val="none" w:sz="0" w:space="0" w:color="auto"/>
        <w:bottom w:val="none" w:sz="0" w:space="0" w:color="auto"/>
        <w:right w:val="none" w:sz="0" w:space="0" w:color="auto"/>
      </w:divBdr>
    </w:div>
    <w:div w:id="546795515">
      <w:bodyDiv w:val="1"/>
      <w:marLeft w:val="0"/>
      <w:marRight w:val="0"/>
      <w:marTop w:val="0"/>
      <w:marBottom w:val="0"/>
      <w:divBdr>
        <w:top w:val="none" w:sz="0" w:space="0" w:color="auto"/>
        <w:left w:val="none" w:sz="0" w:space="0" w:color="auto"/>
        <w:bottom w:val="none" w:sz="0" w:space="0" w:color="auto"/>
        <w:right w:val="none" w:sz="0" w:space="0" w:color="auto"/>
      </w:divBdr>
    </w:div>
    <w:div w:id="548347547">
      <w:bodyDiv w:val="1"/>
      <w:marLeft w:val="0"/>
      <w:marRight w:val="0"/>
      <w:marTop w:val="0"/>
      <w:marBottom w:val="0"/>
      <w:divBdr>
        <w:top w:val="none" w:sz="0" w:space="0" w:color="auto"/>
        <w:left w:val="none" w:sz="0" w:space="0" w:color="auto"/>
        <w:bottom w:val="none" w:sz="0" w:space="0" w:color="auto"/>
        <w:right w:val="none" w:sz="0" w:space="0" w:color="auto"/>
      </w:divBdr>
    </w:div>
    <w:div w:id="553543733">
      <w:bodyDiv w:val="1"/>
      <w:marLeft w:val="0"/>
      <w:marRight w:val="0"/>
      <w:marTop w:val="0"/>
      <w:marBottom w:val="0"/>
      <w:divBdr>
        <w:top w:val="none" w:sz="0" w:space="0" w:color="auto"/>
        <w:left w:val="none" w:sz="0" w:space="0" w:color="auto"/>
        <w:bottom w:val="none" w:sz="0" w:space="0" w:color="auto"/>
        <w:right w:val="none" w:sz="0" w:space="0" w:color="auto"/>
      </w:divBdr>
    </w:div>
    <w:div w:id="596793790">
      <w:bodyDiv w:val="1"/>
      <w:marLeft w:val="0"/>
      <w:marRight w:val="0"/>
      <w:marTop w:val="0"/>
      <w:marBottom w:val="0"/>
      <w:divBdr>
        <w:top w:val="none" w:sz="0" w:space="0" w:color="auto"/>
        <w:left w:val="none" w:sz="0" w:space="0" w:color="auto"/>
        <w:bottom w:val="none" w:sz="0" w:space="0" w:color="auto"/>
        <w:right w:val="none" w:sz="0" w:space="0" w:color="auto"/>
      </w:divBdr>
    </w:div>
    <w:div w:id="616303535">
      <w:bodyDiv w:val="1"/>
      <w:marLeft w:val="0"/>
      <w:marRight w:val="0"/>
      <w:marTop w:val="0"/>
      <w:marBottom w:val="0"/>
      <w:divBdr>
        <w:top w:val="none" w:sz="0" w:space="0" w:color="auto"/>
        <w:left w:val="none" w:sz="0" w:space="0" w:color="auto"/>
        <w:bottom w:val="none" w:sz="0" w:space="0" w:color="auto"/>
        <w:right w:val="none" w:sz="0" w:space="0" w:color="auto"/>
      </w:divBdr>
    </w:div>
    <w:div w:id="655183108">
      <w:bodyDiv w:val="1"/>
      <w:marLeft w:val="0"/>
      <w:marRight w:val="0"/>
      <w:marTop w:val="0"/>
      <w:marBottom w:val="0"/>
      <w:divBdr>
        <w:top w:val="none" w:sz="0" w:space="0" w:color="auto"/>
        <w:left w:val="none" w:sz="0" w:space="0" w:color="auto"/>
        <w:bottom w:val="none" w:sz="0" w:space="0" w:color="auto"/>
        <w:right w:val="none" w:sz="0" w:space="0" w:color="auto"/>
      </w:divBdr>
    </w:div>
    <w:div w:id="749431427">
      <w:bodyDiv w:val="1"/>
      <w:marLeft w:val="0"/>
      <w:marRight w:val="0"/>
      <w:marTop w:val="0"/>
      <w:marBottom w:val="0"/>
      <w:divBdr>
        <w:top w:val="none" w:sz="0" w:space="0" w:color="auto"/>
        <w:left w:val="none" w:sz="0" w:space="0" w:color="auto"/>
        <w:bottom w:val="none" w:sz="0" w:space="0" w:color="auto"/>
        <w:right w:val="none" w:sz="0" w:space="0" w:color="auto"/>
      </w:divBdr>
    </w:div>
    <w:div w:id="784151137">
      <w:bodyDiv w:val="1"/>
      <w:marLeft w:val="0"/>
      <w:marRight w:val="0"/>
      <w:marTop w:val="0"/>
      <w:marBottom w:val="0"/>
      <w:divBdr>
        <w:top w:val="none" w:sz="0" w:space="0" w:color="auto"/>
        <w:left w:val="none" w:sz="0" w:space="0" w:color="auto"/>
        <w:bottom w:val="none" w:sz="0" w:space="0" w:color="auto"/>
        <w:right w:val="none" w:sz="0" w:space="0" w:color="auto"/>
      </w:divBdr>
    </w:div>
    <w:div w:id="821964704">
      <w:bodyDiv w:val="1"/>
      <w:marLeft w:val="0"/>
      <w:marRight w:val="0"/>
      <w:marTop w:val="0"/>
      <w:marBottom w:val="0"/>
      <w:divBdr>
        <w:top w:val="none" w:sz="0" w:space="0" w:color="auto"/>
        <w:left w:val="none" w:sz="0" w:space="0" w:color="auto"/>
        <w:bottom w:val="none" w:sz="0" w:space="0" w:color="auto"/>
        <w:right w:val="none" w:sz="0" w:space="0" w:color="auto"/>
      </w:divBdr>
    </w:div>
    <w:div w:id="825323279">
      <w:bodyDiv w:val="1"/>
      <w:marLeft w:val="0"/>
      <w:marRight w:val="0"/>
      <w:marTop w:val="0"/>
      <w:marBottom w:val="0"/>
      <w:divBdr>
        <w:top w:val="none" w:sz="0" w:space="0" w:color="auto"/>
        <w:left w:val="none" w:sz="0" w:space="0" w:color="auto"/>
        <w:bottom w:val="none" w:sz="0" w:space="0" w:color="auto"/>
        <w:right w:val="none" w:sz="0" w:space="0" w:color="auto"/>
      </w:divBdr>
    </w:div>
    <w:div w:id="837424017">
      <w:bodyDiv w:val="1"/>
      <w:marLeft w:val="0"/>
      <w:marRight w:val="0"/>
      <w:marTop w:val="0"/>
      <w:marBottom w:val="0"/>
      <w:divBdr>
        <w:top w:val="none" w:sz="0" w:space="0" w:color="auto"/>
        <w:left w:val="none" w:sz="0" w:space="0" w:color="auto"/>
        <w:bottom w:val="none" w:sz="0" w:space="0" w:color="auto"/>
        <w:right w:val="none" w:sz="0" w:space="0" w:color="auto"/>
      </w:divBdr>
    </w:div>
    <w:div w:id="844711532">
      <w:bodyDiv w:val="1"/>
      <w:marLeft w:val="0"/>
      <w:marRight w:val="0"/>
      <w:marTop w:val="0"/>
      <w:marBottom w:val="0"/>
      <w:divBdr>
        <w:top w:val="none" w:sz="0" w:space="0" w:color="auto"/>
        <w:left w:val="none" w:sz="0" w:space="0" w:color="auto"/>
        <w:bottom w:val="none" w:sz="0" w:space="0" w:color="auto"/>
        <w:right w:val="none" w:sz="0" w:space="0" w:color="auto"/>
      </w:divBdr>
    </w:div>
    <w:div w:id="862868071">
      <w:bodyDiv w:val="1"/>
      <w:marLeft w:val="0"/>
      <w:marRight w:val="0"/>
      <w:marTop w:val="0"/>
      <w:marBottom w:val="0"/>
      <w:divBdr>
        <w:top w:val="none" w:sz="0" w:space="0" w:color="auto"/>
        <w:left w:val="none" w:sz="0" w:space="0" w:color="auto"/>
        <w:bottom w:val="none" w:sz="0" w:space="0" w:color="auto"/>
        <w:right w:val="none" w:sz="0" w:space="0" w:color="auto"/>
      </w:divBdr>
      <w:divsChild>
        <w:div w:id="1690910996">
          <w:marLeft w:val="-115"/>
          <w:marRight w:val="0"/>
          <w:marTop w:val="0"/>
          <w:marBottom w:val="0"/>
          <w:divBdr>
            <w:top w:val="none" w:sz="0" w:space="0" w:color="auto"/>
            <w:left w:val="none" w:sz="0" w:space="0" w:color="auto"/>
            <w:bottom w:val="none" w:sz="0" w:space="0" w:color="auto"/>
            <w:right w:val="none" w:sz="0" w:space="0" w:color="auto"/>
          </w:divBdr>
        </w:div>
      </w:divsChild>
    </w:div>
    <w:div w:id="916473809">
      <w:bodyDiv w:val="1"/>
      <w:marLeft w:val="0"/>
      <w:marRight w:val="0"/>
      <w:marTop w:val="0"/>
      <w:marBottom w:val="0"/>
      <w:divBdr>
        <w:top w:val="none" w:sz="0" w:space="0" w:color="auto"/>
        <w:left w:val="none" w:sz="0" w:space="0" w:color="auto"/>
        <w:bottom w:val="none" w:sz="0" w:space="0" w:color="auto"/>
        <w:right w:val="none" w:sz="0" w:space="0" w:color="auto"/>
      </w:divBdr>
    </w:div>
    <w:div w:id="924801542">
      <w:bodyDiv w:val="1"/>
      <w:marLeft w:val="0"/>
      <w:marRight w:val="0"/>
      <w:marTop w:val="0"/>
      <w:marBottom w:val="0"/>
      <w:divBdr>
        <w:top w:val="none" w:sz="0" w:space="0" w:color="auto"/>
        <w:left w:val="none" w:sz="0" w:space="0" w:color="auto"/>
        <w:bottom w:val="none" w:sz="0" w:space="0" w:color="auto"/>
        <w:right w:val="none" w:sz="0" w:space="0" w:color="auto"/>
      </w:divBdr>
    </w:div>
    <w:div w:id="957184260">
      <w:bodyDiv w:val="1"/>
      <w:marLeft w:val="0"/>
      <w:marRight w:val="0"/>
      <w:marTop w:val="0"/>
      <w:marBottom w:val="0"/>
      <w:divBdr>
        <w:top w:val="none" w:sz="0" w:space="0" w:color="auto"/>
        <w:left w:val="none" w:sz="0" w:space="0" w:color="auto"/>
        <w:bottom w:val="none" w:sz="0" w:space="0" w:color="auto"/>
        <w:right w:val="none" w:sz="0" w:space="0" w:color="auto"/>
      </w:divBdr>
    </w:div>
    <w:div w:id="958953297">
      <w:bodyDiv w:val="1"/>
      <w:marLeft w:val="0"/>
      <w:marRight w:val="0"/>
      <w:marTop w:val="0"/>
      <w:marBottom w:val="0"/>
      <w:divBdr>
        <w:top w:val="none" w:sz="0" w:space="0" w:color="auto"/>
        <w:left w:val="none" w:sz="0" w:space="0" w:color="auto"/>
        <w:bottom w:val="none" w:sz="0" w:space="0" w:color="auto"/>
        <w:right w:val="none" w:sz="0" w:space="0" w:color="auto"/>
      </w:divBdr>
    </w:div>
    <w:div w:id="995453403">
      <w:bodyDiv w:val="1"/>
      <w:marLeft w:val="0"/>
      <w:marRight w:val="0"/>
      <w:marTop w:val="0"/>
      <w:marBottom w:val="0"/>
      <w:divBdr>
        <w:top w:val="none" w:sz="0" w:space="0" w:color="auto"/>
        <w:left w:val="none" w:sz="0" w:space="0" w:color="auto"/>
        <w:bottom w:val="none" w:sz="0" w:space="0" w:color="auto"/>
        <w:right w:val="none" w:sz="0" w:space="0" w:color="auto"/>
      </w:divBdr>
    </w:div>
    <w:div w:id="1016661474">
      <w:bodyDiv w:val="1"/>
      <w:marLeft w:val="0"/>
      <w:marRight w:val="0"/>
      <w:marTop w:val="0"/>
      <w:marBottom w:val="0"/>
      <w:divBdr>
        <w:top w:val="none" w:sz="0" w:space="0" w:color="auto"/>
        <w:left w:val="none" w:sz="0" w:space="0" w:color="auto"/>
        <w:bottom w:val="none" w:sz="0" w:space="0" w:color="auto"/>
        <w:right w:val="none" w:sz="0" w:space="0" w:color="auto"/>
      </w:divBdr>
    </w:div>
    <w:div w:id="1095131475">
      <w:bodyDiv w:val="1"/>
      <w:marLeft w:val="0"/>
      <w:marRight w:val="0"/>
      <w:marTop w:val="0"/>
      <w:marBottom w:val="0"/>
      <w:divBdr>
        <w:top w:val="none" w:sz="0" w:space="0" w:color="auto"/>
        <w:left w:val="none" w:sz="0" w:space="0" w:color="auto"/>
        <w:bottom w:val="none" w:sz="0" w:space="0" w:color="auto"/>
        <w:right w:val="none" w:sz="0" w:space="0" w:color="auto"/>
      </w:divBdr>
      <w:divsChild>
        <w:div w:id="256450087">
          <w:marLeft w:val="-115"/>
          <w:marRight w:val="0"/>
          <w:marTop w:val="0"/>
          <w:marBottom w:val="0"/>
          <w:divBdr>
            <w:top w:val="none" w:sz="0" w:space="0" w:color="auto"/>
            <w:left w:val="none" w:sz="0" w:space="0" w:color="auto"/>
            <w:bottom w:val="none" w:sz="0" w:space="0" w:color="auto"/>
            <w:right w:val="none" w:sz="0" w:space="0" w:color="auto"/>
          </w:divBdr>
        </w:div>
      </w:divsChild>
    </w:div>
    <w:div w:id="1109278850">
      <w:bodyDiv w:val="1"/>
      <w:marLeft w:val="0"/>
      <w:marRight w:val="0"/>
      <w:marTop w:val="0"/>
      <w:marBottom w:val="0"/>
      <w:divBdr>
        <w:top w:val="none" w:sz="0" w:space="0" w:color="auto"/>
        <w:left w:val="none" w:sz="0" w:space="0" w:color="auto"/>
        <w:bottom w:val="none" w:sz="0" w:space="0" w:color="auto"/>
        <w:right w:val="none" w:sz="0" w:space="0" w:color="auto"/>
      </w:divBdr>
    </w:div>
    <w:div w:id="1165436237">
      <w:bodyDiv w:val="1"/>
      <w:marLeft w:val="0"/>
      <w:marRight w:val="0"/>
      <w:marTop w:val="0"/>
      <w:marBottom w:val="0"/>
      <w:divBdr>
        <w:top w:val="none" w:sz="0" w:space="0" w:color="auto"/>
        <w:left w:val="none" w:sz="0" w:space="0" w:color="auto"/>
        <w:bottom w:val="none" w:sz="0" w:space="0" w:color="auto"/>
        <w:right w:val="none" w:sz="0" w:space="0" w:color="auto"/>
      </w:divBdr>
    </w:div>
    <w:div w:id="1170874600">
      <w:bodyDiv w:val="1"/>
      <w:marLeft w:val="0"/>
      <w:marRight w:val="0"/>
      <w:marTop w:val="0"/>
      <w:marBottom w:val="0"/>
      <w:divBdr>
        <w:top w:val="none" w:sz="0" w:space="0" w:color="auto"/>
        <w:left w:val="none" w:sz="0" w:space="0" w:color="auto"/>
        <w:bottom w:val="none" w:sz="0" w:space="0" w:color="auto"/>
        <w:right w:val="none" w:sz="0" w:space="0" w:color="auto"/>
      </w:divBdr>
    </w:div>
    <w:div w:id="1245846874">
      <w:bodyDiv w:val="1"/>
      <w:marLeft w:val="0"/>
      <w:marRight w:val="0"/>
      <w:marTop w:val="0"/>
      <w:marBottom w:val="0"/>
      <w:divBdr>
        <w:top w:val="none" w:sz="0" w:space="0" w:color="auto"/>
        <w:left w:val="none" w:sz="0" w:space="0" w:color="auto"/>
        <w:bottom w:val="none" w:sz="0" w:space="0" w:color="auto"/>
        <w:right w:val="none" w:sz="0" w:space="0" w:color="auto"/>
      </w:divBdr>
      <w:divsChild>
        <w:div w:id="957030794">
          <w:marLeft w:val="-115"/>
          <w:marRight w:val="0"/>
          <w:marTop w:val="0"/>
          <w:marBottom w:val="0"/>
          <w:divBdr>
            <w:top w:val="none" w:sz="0" w:space="0" w:color="auto"/>
            <w:left w:val="none" w:sz="0" w:space="0" w:color="auto"/>
            <w:bottom w:val="none" w:sz="0" w:space="0" w:color="auto"/>
            <w:right w:val="none" w:sz="0" w:space="0" w:color="auto"/>
          </w:divBdr>
        </w:div>
      </w:divsChild>
    </w:div>
    <w:div w:id="1272055658">
      <w:bodyDiv w:val="1"/>
      <w:marLeft w:val="0"/>
      <w:marRight w:val="0"/>
      <w:marTop w:val="0"/>
      <w:marBottom w:val="0"/>
      <w:divBdr>
        <w:top w:val="none" w:sz="0" w:space="0" w:color="auto"/>
        <w:left w:val="none" w:sz="0" w:space="0" w:color="auto"/>
        <w:bottom w:val="none" w:sz="0" w:space="0" w:color="auto"/>
        <w:right w:val="none" w:sz="0" w:space="0" w:color="auto"/>
      </w:divBdr>
    </w:div>
    <w:div w:id="1281496979">
      <w:bodyDiv w:val="1"/>
      <w:marLeft w:val="0"/>
      <w:marRight w:val="0"/>
      <w:marTop w:val="0"/>
      <w:marBottom w:val="0"/>
      <w:divBdr>
        <w:top w:val="none" w:sz="0" w:space="0" w:color="auto"/>
        <w:left w:val="none" w:sz="0" w:space="0" w:color="auto"/>
        <w:bottom w:val="none" w:sz="0" w:space="0" w:color="auto"/>
        <w:right w:val="none" w:sz="0" w:space="0" w:color="auto"/>
      </w:divBdr>
    </w:div>
    <w:div w:id="1295983091">
      <w:bodyDiv w:val="1"/>
      <w:marLeft w:val="0"/>
      <w:marRight w:val="0"/>
      <w:marTop w:val="0"/>
      <w:marBottom w:val="0"/>
      <w:divBdr>
        <w:top w:val="none" w:sz="0" w:space="0" w:color="auto"/>
        <w:left w:val="none" w:sz="0" w:space="0" w:color="auto"/>
        <w:bottom w:val="none" w:sz="0" w:space="0" w:color="auto"/>
        <w:right w:val="none" w:sz="0" w:space="0" w:color="auto"/>
      </w:divBdr>
    </w:div>
    <w:div w:id="1327171776">
      <w:bodyDiv w:val="1"/>
      <w:marLeft w:val="0"/>
      <w:marRight w:val="0"/>
      <w:marTop w:val="0"/>
      <w:marBottom w:val="0"/>
      <w:divBdr>
        <w:top w:val="none" w:sz="0" w:space="0" w:color="auto"/>
        <w:left w:val="none" w:sz="0" w:space="0" w:color="auto"/>
        <w:bottom w:val="none" w:sz="0" w:space="0" w:color="auto"/>
        <w:right w:val="none" w:sz="0" w:space="0" w:color="auto"/>
      </w:divBdr>
    </w:div>
    <w:div w:id="1337659179">
      <w:bodyDiv w:val="1"/>
      <w:marLeft w:val="0"/>
      <w:marRight w:val="0"/>
      <w:marTop w:val="0"/>
      <w:marBottom w:val="0"/>
      <w:divBdr>
        <w:top w:val="none" w:sz="0" w:space="0" w:color="auto"/>
        <w:left w:val="none" w:sz="0" w:space="0" w:color="auto"/>
        <w:bottom w:val="none" w:sz="0" w:space="0" w:color="auto"/>
        <w:right w:val="none" w:sz="0" w:space="0" w:color="auto"/>
      </w:divBdr>
    </w:div>
    <w:div w:id="1339769506">
      <w:bodyDiv w:val="1"/>
      <w:marLeft w:val="0"/>
      <w:marRight w:val="0"/>
      <w:marTop w:val="0"/>
      <w:marBottom w:val="0"/>
      <w:divBdr>
        <w:top w:val="none" w:sz="0" w:space="0" w:color="auto"/>
        <w:left w:val="none" w:sz="0" w:space="0" w:color="auto"/>
        <w:bottom w:val="none" w:sz="0" w:space="0" w:color="auto"/>
        <w:right w:val="none" w:sz="0" w:space="0" w:color="auto"/>
      </w:divBdr>
    </w:div>
    <w:div w:id="1484544735">
      <w:bodyDiv w:val="1"/>
      <w:marLeft w:val="0"/>
      <w:marRight w:val="0"/>
      <w:marTop w:val="0"/>
      <w:marBottom w:val="0"/>
      <w:divBdr>
        <w:top w:val="none" w:sz="0" w:space="0" w:color="auto"/>
        <w:left w:val="none" w:sz="0" w:space="0" w:color="auto"/>
        <w:bottom w:val="none" w:sz="0" w:space="0" w:color="auto"/>
        <w:right w:val="none" w:sz="0" w:space="0" w:color="auto"/>
      </w:divBdr>
    </w:div>
    <w:div w:id="1526746859">
      <w:bodyDiv w:val="1"/>
      <w:marLeft w:val="0"/>
      <w:marRight w:val="0"/>
      <w:marTop w:val="0"/>
      <w:marBottom w:val="0"/>
      <w:divBdr>
        <w:top w:val="none" w:sz="0" w:space="0" w:color="auto"/>
        <w:left w:val="none" w:sz="0" w:space="0" w:color="auto"/>
        <w:bottom w:val="none" w:sz="0" w:space="0" w:color="auto"/>
        <w:right w:val="none" w:sz="0" w:space="0" w:color="auto"/>
      </w:divBdr>
    </w:div>
    <w:div w:id="1609239917">
      <w:bodyDiv w:val="1"/>
      <w:marLeft w:val="0"/>
      <w:marRight w:val="0"/>
      <w:marTop w:val="0"/>
      <w:marBottom w:val="0"/>
      <w:divBdr>
        <w:top w:val="none" w:sz="0" w:space="0" w:color="auto"/>
        <w:left w:val="none" w:sz="0" w:space="0" w:color="auto"/>
        <w:bottom w:val="none" w:sz="0" w:space="0" w:color="auto"/>
        <w:right w:val="none" w:sz="0" w:space="0" w:color="auto"/>
      </w:divBdr>
    </w:div>
    <w:div w:id="1717699917">
      <w:bodyDiv w:val="1"/>
      <w:marLeft w:val="0"/>
      <w:marRight w:val="0"/>
      <w:marTop w:val="0"/>
      <w:marBottom w:val="0"/>
      <w:divBdr>
        <w:top w:val="none" w:sz="0" w:space="0" w:color="auto"/>
        <w:left w:val="none" w:sz="0" w:space="0" w:color="auto"/>
        <w:bottom w:val="none" w:sz="0" w:space="0" w:color="auto"/>
        <w:right w:val="none" w:sz="0" w:space="0" w:color="auto"/>
      </w:divBdr>
    </w:div>
    <w:div w:id="1813790541">
      <w:bodyDiv w:val="1"/>
      <w:marLeft w:val="0"/>
      <w:marRight w:val="0"/>
      <w:marTop w:val="0"/>
      <w:marBottom w:val="0"/>
      <w:divBdr>
        <w:top w:val="none" w:sz="0" w:space="0" w:color="auto"/>
        <w:left w:val="none" w:sz="0" w:space="0" w:color="auto"/>
        <w:bottom w:val="none" w:sz="0" w:space="0" w:color="auto"/>
        <w:right w:val="none" w:sz="0" w:space="0" w:color="auto"/>
      </w:divBdr>
    </w:div>
    <w:div w:id="1819103474">
      <w:bodyDiv w:val="1"/>
      <w:marLeft w:val="0"/>
      <w:marRight w:val="0"/>
      <w:marTop w:val="0"/>
      <w:marBottom w:val="0"/>
      <w:divBdr>
        <w:top w:val="none" w:sz="0" w:space="0" w:color="auto"/>
        <w:left w:val="none" w:sz="0" w:space="0" w:color="auto"/>
        <w:bottom w:val="none" w:sz="0" w:space="0" w:color="auto"/>
        <w:right w:val="none" w:sz="0" w:space="0" w:color="auto"/>
      </w:divBdr>
    </w:div>
    <w:div w:id="1837186957">
      <w:bodyDiv w:val="1"/>
      <w:marLeft w:val="0"/>
      <w:marRight w:val="0"/>
      <w:marTop w:val="0"/>
      <w:marBottom w:val="0"/>
      <w:divBdr>
        <w:top w:val="none" w:sz="0" w:space="0" w:color="auto"/>
        <w:left w:val="none" w:sz="0" w:space="0" w:color="auto"/>
        <w:bottom w:val="none" w:sz="0" w:space="0" w:color="auto"/>
        <w:right w:val="none" w:sz="0" w:space="0" w:color="auto"/>
      </w:divBdr>
    </w:div>
    <w:div w:id="1846894347">
      <w:bodyDiv w:val="1"/>
      <w:marLeft w:val="0"/>
      <w:marRight w:val="0"/>
      <w:marTop w:val="0"/>
      <w:marBottom w:val="0"/>
      <w:divBdr>
        <w:top w:val="none" w:sz="0" w:space="0" w:color="auto"/>
        <w:left w:val="none" w:sz="0" w:space="0" w:color="auto"/>
        <w:bottom w:val="none" w:sz="0" w:space="0" w:color="auto"/>
        <w:right w:val="none" w:sz="0" w:space="0" w:color="auto"/>
      </w:divBdr>
    </w:div>
    <w:div w:id="1858690182">
      <w:bodyDiv w:val="1"/>
      <w:marLeft w:val="0"/>
      <w:marRight w:val="0"/>
      <w:marTop w:val="0"/>
      <w:marBottom w:val="0"/>
      <w:divBdr>
        <w:top w:val="none" w:sz="0" w:space="0" w:color="auto"/>
        <w:left w:val="none" w:sz="0" w:space="0" w:color="auto"/>
        <w:bottom w:val="none" w:sz="0" w:space="0" w:color="auto"/>
        <w:right w:val="none" w:sz="0" w:space="0" w:color="auto"/>
      </w:divBdr>
    </w:div>
    <w:div w:id="1880511725">
      <w:bodyDiv w:val="1"/>
      <w:marLeft w:val="0"/>
      <w:marRight w:val="0"/>
      <w:marTop w:val="0"/>
      <w:marBottom w:val="0"/>
      <w:divBdr>
        <w:top w:val="none" w:sz="0" w:space="0" w:color="auto"/>
        <w:left w:val="none" w:sz="0" w:space="0" w:color="auto"/>
        <w:bottom w:val="none" w:sz="0" w:space="0" w:color="auto"/>
        <w:right w:val="none" w:sz="0" w:space="0" w:color="auto"/>
      </w:divBdr>
    </w:div>
    <w:div w:id="1952740802">
      <w:bodyDiv w:val="1"/>
      <w:marLeft w:val="0"/>
      <w:marRight w:val="0"/>
      <w:marTop w:val="0"/>
      <w:marBottom w:val="0"/>
      <w:divBdr>
        <w:top w:val="none" w:sz="0" w:space="0" w:color="auto"/>
        <w:left w:val="none" w:sz="0" w:space="0" w:color="auto"/>
        <w:bottom w:val="none" w:sz="0" w:space="0" w:color="auto"/>
        <w:right w:val="none" w:sz="0" w:space="0" w:color="auto"/>
      </w:divBdr>
      <w:divsChild>
        <w:div w:id="208399025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ecd.org/dac/effectiveness/31451637.pdf" TargetMode="External"/><Relationship Id="rId26" Type="http://schemas.openxmlformats.org/officeDocument/2006/relationships/hyperlink" Target="https://unstats.un.org/sdgs/iaeg-sdgs/metadata-compilation/" TargetMode="External"/><Relationship Id="rId39" Type="http://schemas.openxmlformats.org/officeDocument/2006/relationships/theme" Target="theme/theme1.xml"/><Relationship Id="rId21" Type="http://schemas.openxmlformats.org/officeDocument/2006/relationships/hyperlink" Target="https://www.un.org/esa/ffd/wp-content/uploads/2014/09/Doha_Declaration_FFD.pdf" TargetMode="External"/><Relationship Id="rId34" Type="http://schemas.openxmlformats.org/officeDocument/2006/relationships/hyperlink" Target="http://www.devinit.org" TargetMode="External"/><Relationship Id="rId7" Type="http://schemas.openxmlformats.org/officeDocument/2006/relationships/endnotes" Target="endnotes.xml"/><Relationship Id="rId12" Type="http://schemas.openxmlformats.org/officeDocument/2006/relationships/hyperlink" Target="http://www.devinit.org/resources/development-data-assessment/" TargetMode="External"/><Relationship Id="rId17" Type="http://schemas.openxmlformats.org/officeDocument/2006/relationships/hyperlink" Target="https://www.un.org/esa/ffd/wp-content/uploads/2014/09/MonterreyConsensus.pdf" TargetMode="External"/><Relationship Id="rId25" Type="http://schemas.openxmlformats.org/officeDocument/2006/relationships/hyperlink" Target="https://www.effectivecooperation.org/system/files/2020-05/Nairobi-Outcome-Document-English.pdf" TargetMode="External"/><Relationship Id="rId33" Type="http://schemas.openxmlformats.org/officeDocument/2006/relationships/hyperlink" Target="mailto:info@devinit.org"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aris21.org/press-2019" TargetMode="External"/><Relationship Id="rId20" Type="http://schemas.openxmlformats.org/officeDocument/2006/relationships/hyperlink" Target="https://www.oecd.org/dac/effectiveness/34428351.pdf" TargetMode="External"/><Relationship Id="rId29" Type="http://schemas.openxmlformats.org/officeDocument/2006/relationships/hyperlink" Target="https://devinit.org/resources/ugandas-data-eco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vinit.org/resources/development-data-assessment/" TargetMode="External"/><Relationship Id="rId24" Type="http://schemas.openxmlformats.org/officeDocument/2006/relationships/hyperlink" Target="https://sustainabledevelopment.un.org/content/documents/2051AAAA_Outcome.pdf" TargetMode="External"/><Relationship Id="rId32" Type="http://schemas.openxmlformats.org/officeDocument/2006/relationships/hyperlink" Target="http://www.devinit.org" TargetMode="External"/><Relationship Id="rId37"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mics.unicef.org/surveys" TargetMode="External"/><Relationship Id="rId23" Type="http://schemas.openxmlformats.org/officeDocument/2006/relationships/hyperlink" Target="https://www.effectivecooperation.org/system/files/2020-07/Communique-Mexico-HLM-16.4.14.pdf" TargetMode="External"/><Relationship Id="rId28" Type="http://schemas.openxmlformats.org/officeDocument/2006/relationships/hyperlink" Target="https://unstats.un.org/sdgs/metadata/"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oecd.org/dac/effectiveness/34428351.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martdatafinance.org/funding-opportunities" TargetMode="External"/><Relationship Id="rId14" Type="http://schemas.openxmlformats.org/officeDocument/2006/relationships/hyperlink" Target="https://dhsprogram.com/Countries/" TargetMode="External"/><Relationship Id="rId22" Type="http://schemas.openxmlformats.org/officeDocument/2006/relationships/hyperlink" Target="https://www.effectivecooperation.org/system/files/2020-06/OUTCOME_DOCUMENT_-_FINAL_EN2.pdf" TargetMode="External"/><Relationship Id="rId27" Type="http://schemas.openxmlformats.org/officeDocument/2006/relationships/hyperlink" Target="https://devinit.org/resources/ugandas-data-ecosystem/" TargetMode="External"/><Relationship Id="rId30" Type="http://schemas.openxmlformats.org/officeDocument/2006/relationships/footer" Target="footer1.xml"/><Relationship Id="rId35" Type="http://schemas.openxmlformats.org/officeDocument/2006/relationships/hyperlink" Target="mailto:info@devinit.org" TargetMode="External"/><Relationship Id="rId8" Type="http://schemas.openxmlformats.org/officeDocument/2006/relationships/image" Target="media/image1.w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6" Type="http://schemas.openxmlformats.org/officeDocument/2006/relationships/hyperlink" Target="https://www.nigerianstat.gov.ng/nada/index.php/catalog/59" TargetMode="External"/><Relationship Id="rId21" Type="http://schemas.openxmlformats.org/officeDocument/2006/relationships/hyperlink" Target="https://www.ncbi.nlm.nih.gov/pubmed/?term=Wickremasinghe%20D%5BAuthor%5D&amp;cauthor=true&amp;cauthor_uid=30078292" TargetMode="External"/><Relationship Id="rId34" Type="http://schemas.openxmlformats.org/officeDocument/2006/relationships/hyperlink" Target="https://unstats.un.org/unsd/statcom/50th-session/documents/BG-Item4c-ISWGHS-E.pdf" TargetMode="External"/><Relationship Id="rId42" Type="http://schemas.openxmlformats.org/officeDocument/2006/relationships/hyperlink" Target="https://devinit.org/resources/cash-transfer-somalia/" TargetMode="External"/><Relationship Id="rId47" Type="http://schemas.openxmlformats.org/officeDocument/2006/relationships/hyperlink" Target="https://reliefweb.int/sites/reliefweb.int/files/resources/Lost-in-Translation-The-Interaction-Between-International-Aid-and-South-Sudanese-Accountability-Systems-Final-1.pdf" TargetMode="External"/><Relationship Id="rId50" Type="http://schemas.openxmlformats.org/officeDocument/2006/relationships/hyperlink" Target="https://www.worldbank.org/en/data/statistical-capacity-building/trust-fund-for-statistical-capacity-building" TargetMode="External"/><Relationship Id="rId55" Type="http://schemas.openxmlformats.org/officeDocument/2006/relationships/hyperlink" Target="https://pubdocs.worldbank.org/en/421301493936349083/pdf/TFSCB-APs-report-Final-version.pdf" TargetMode="External"/><Relationship Id="rId63" Type="http://schemas.openxmlformats.org/officeDocument/2006/relationships/hyperlink" Target="https://openknowledge.worldbank.org/handle/10986/16093" TargetMode="External"/><Relationship Id="rId7" Type="http://schemas.openxmlformats.org/officeDocument/2006/relationships/hyperlink" Target="https://www.un.org/esa/ffd/overview/monterrey-conference.html" TargetMode="External"/><Relationship Id="rId2" Type="http://schemas.openxmlformats.org/officeDocument/2006/relationships/hyperlink" Target="https://www.devinit.org/resources/data-side-leaving-no-one-behind/" TargetMode="External"/><Relationship Id="rId16" Type="http://schemas.openxmlformats.org/officeDocument/2006/relationships/hyperlink" Target="https://www.effectivecooperation.org/system/files/2020-06/Communique-Mexico-HLM-16.4.14.pdf" TargetMode="External"/><Relationship Id="rId29" Type="http://schemas.openxmlformats.org/officeDocument/2006/relationships/hyperlink" Target="https://dhsprogram.com/pubs/pdf/PR104/PR104.pdf" TargetMode="External"/><Relationship Id="rId11" Type="http://schemas.openxmlformats.org/officeDocument/2006/relationships/hyperlink" Target="https://www.oecd.org/dac/effectiveness/31451637.pdf" TargetMode="External"/><Relationship Id="rId24" Type="http://schemas.openxmlformats.org/officeDocument/2006/relationships/hyperlink" Target="https://www.worldbank.org/en/programs/lsms" TargetMode="External"/><Relationship Id="rId32" Type="http://schemas.openxmlformats.org/officeDocument/2006/relationships/hyperlink" Target="https://unstats.un.org/unsd/statcom/47th-session/documents/2016-21-ISWG-on-household-surveys-E.pdf" TargetMode="External"/><Relationship Id="rId37" Type="http://schemas.openxmlformats.org/officeDocument/2006/relationships/hyperlink" Target="http://drrportal.gov.np/" TargetMode="External"/><Relationship Id="rId40" Type="http://schemas.openxmlformats.org/officeDocument/2006/relationships/hyperlink" Target="https://www.ncbi.nlm.nih.gov/pmc/articles/PMC6194105/" TargetMode="External"/><Relationship Id="rId45" Type="http://schemas.openxmlformats.org/officeDocument/2006/relationships/hyperlink" Target="https://interagencystandingcommittee.org/system/files/grand_bargain_final_22_may_final-2_0.pdf" TargetMode="External"/><Relationship Id="rId53" Type="http://schemas.openxmlformats.org/officeDocument/2006/relationships/hyperlink" Target="https://www.oecd.org/dac/financing-sustainable-development/development-finance-standards/" TargetMode="External"/><Relationship Id="rId58" Type="http://schemas.openxmlformats.org/officeDocument/2006/relationships/hyperlink" Target="https://www.usaid.gov/results-and-data/planning/policy" TargetMode="External"/><Relationship Id="rId5" Type="http://schemas.openxmlformats.org/officeDocument/2006/relationships/hyperlink" Target="https://procurement-notices.undp.org/view_file.cfm?doc_id=270693" TargetMode="External"/><Relationship Id="rId61" Type="http://schemas.openxmlformats.org/officeDocument/2006/relationships/hyperlink" Target="https://devtracker.fcdo.gov.uk/projects/GB-GOV-24-001/summary" TargetMode="External"/><Relationship Id="rId19" Type="http://schemas.openxmlformats.org/officeDocument/2006/relationships/hyperlink" Target="https://www.jstor.org/stable/42635238" TargetMode="External"/><Relationship Id="rId14" Type="http://schemas.openxmlformats.org/officeDocument/2006/relationships/hyperlink" Target="https://www.oecd.org/dac/effectiveness/49650173.pdf" TargetMode="External"/><Relationship Id="rId22" Type="http://schemas.openxmlformats.org/officeDocument/2006/relationships/hyperlink" Target="https://www.ncbi.nlm.nih.gov/pmc/articles/PMC6077277/" TargetMode="External"/><Relationship Id="rId27" Type="http://schemas.openxmlformats.org/officeDocument/2006/relationships/hyperlink" Target="https://dhsprogram.com/publications/publication-fr359-dhs-final-reports.cfm" TargetMode="External"/><Relationship Id="rId30" Type="http://schemas.openxmlformats.org/officeDocument/2006/relationships/hyperlink" Target="https://unstats.un.org/unsd/statcom/doc15/2015-10-HouseholdSurveys-E.pdf" TargetMode="External"/><Relationship Id="rId35" Type="http://schemas.openxmlformats.org/officeDocument/2006/relationships/hyperlink" Target="https://www.unicef.org/rosa/reports/health-system-strengthening-transforming-health-information-system-bangladesh" TargetMode="External"/><Relationship Id="rId43" Type="http://schemas.openxmlformats.org/officeDocument/2006/relationships/hyperlink" Target="https://www.oecd-ilibrary.org/development/achieving-sdg-results-in-development-co-operation_5b2b0ee8-en" TargetMode="External"/><Relationship Id="rId48" Type="http://schemas.openxmlformats.org/officeDocument/2006/relationships/hyperlink" Target="https://somalipublicagenda.org/wp-content/uploads/2021/06/SPA_Governance_Briefs_12_2021_ENGLISH-1.pdf" TargetMode="External"/><Relationship Id="rId56" Type="http://schemas.openxmlformats.org/officeDocument/2006/relationships/hyperlink" Target="https://www.worldbank.org/en/research/brief/global-data-facility" TargetMode="External"/><Relationship Id="rId64" Type="http://schemas.openxmlformats.org/officeDocument/2006/relationships/hyperlink" Target="https://www.cgdev.org/publication/ft/delivering-data-revolution-sub-saharan-africa" TargetMode="External"/><Relationship Id="rId8" Type="http://schemas.openxmlformats.org/officeDocument/2006/relationships/hyperlink" Target="https://www.un.org/esa/ffd/wp-content/uploads/2014/09/MonterreyConsensus.pdf" TargetMode="External"/><Relationship Id="rId51" Type="http://schemas.openxmlformats.org/officeDocument/2006/relationships/hyperlink" Target="https://www.worldbank.org/en/research/brief/global-data-facility" TargetMode="External"/><Relationship Id="rId3" Type="http://schemas.openxmlformats.org/officeDocument/2006/relationships/hyperlink" Target="https://www.data4sdgs.org/sites/default/files/2018-03/Financing%20for%20Development%20Data%20Pamphlet%20FINAL_27Mar.pdf" TargetMode="External"/><Relationship Id="rId12" Type="http://schemas.openxmlformats.org/officeDocument/2006/relationships/hyperlink" Target="https://www.oecd.org/dac/effectiveness/secondhighlevelforumonjointprogresstowardenhancedaideffectivenessharmonisationalignmentandresults.htm" TargetMode="External"/><Relationship Id="rId17" Type="http://schemas.openxmlformats.org/officeDocument/2006/relationships/hyperlink" Target="https://www.effectivecooperation.org/system/files/2020-05/Nairobi-Outcome-Document-English.pdf" TargetMode="External"/><Relationship Id="rId25" Type="http://schemas.openxmlformats.org/officeDocument/2006/relationships/hyperlink" Target="https://devinit.org/resources/household-surveys-competing-standards-serve-country-needs/" TargetMode="External"/><Relationship Id="rId33" Type="http://schemas.openxmlformats.org/officeDocument/2006/relationships/hyperlink" Target="https://unstats.un.org/unsd/statcom/52nd-session/documents/2021-16-HouseholdSurveys-E.pdf" TargetMode="External"/><Relationship Id="rId38" Type="http://schemas.openxmlformats.org/officeDocument/2006/relationships/hyperlink" Target="https://www.who.int/publications/i/item/standards-for-public-health-information-services" TargetMode="External"/><Relationship Id="rId46" Type="http://schemas.openxmlformats.org/officeDocument/2006/relationships/hyperlink" Target="http://www.thenewhumanitarian.org/news/2017/10/23/bangladesh-resists-greater-unhcr-role-rohingya-crisis" TargetMode="External"/><Relationship Id="rId59" Type="http://schemas.openxmlformats.org/officeDocument/2006/relationships/hyperlink" Target="https://www.gov.uk/government/speeches/official-development-assistance-foreign-secretarys-statement-november-2020" TargetMode="External"/><Relationship Id="rId20" Type="http://schemas.openxmlformats.org/officeDocument/2006/relationships/hyperlink" Target="https://www.undp.org/sites/g/files/zskgke326/files/publications/UNDP-OECD_Making_Development_Co-operation_More%20Effective_2019_Progress_Report.pdf" TargetMode="External"/><Relationship Id="rId41" Type="http://schemas.openxmlformats.org/officeDocument/2006/relationships/hyperlink" Target="https://devinit.org/resources/household-surveys-competing-standards-serve-country-needs/" TargetMode="External"/><Relationship Id="rId54" Type="http://schemas.openxmlformats.org/officeDocument/2006/relationships/hyperlink" Target="https://iatistandard.org/en/" TargetMode="External"/><Relationship Id="rId62" Type="http://schemas.openxmlformats.org/officeDocument/2006/relationships/hyperlink" Target="https://devflow.northeurope.cloudapp.azure.com/files/documents/ONS-Modernisation-of-Official-Statistics_Business-Case--20210519010546.docx" TargetMode="External"/><Relationship Id="rId1" Type="http://schemas.openxmlformats.org/officeDocument/2006/relationships/hyperlink" Target="https://www.devinit.org/resources/data-side-leaving-no-one-behind/" TargetMode="External"/><Relationship Id="rId6" Type="http://schemas.openxmlformats.org/officeDocument/2006/relationships/hyperlink" Target="https://drive.google.com/drive/folders/1Qo3BCmb7wN90-IhcxYKdToy2Pj12t2tB" TargetMode="External"/><Relationship Id="rId15" Type="http://schemas.openxmlformats.org/officeDocument/2006/relationships/hyperlink" Target="https://www.effectivecooperation.org/landing-page/effectiveness-principles" TargetMode="External"/><Relationship Id="rId23" Type="http://schemas.openxmlformats.org/officeDocument/2006/relationships/hyperlink" Target="https://www.icf.com/clients/health/demographic-health-surveys-technical-assistance" TargetMode="External"/><Relationship Id="rId28" Type="http://schemas.openxmlformats.org/officeDocument/2006/relationships/hyperlink" Target="https://mics.unicef.org/news_entries/152/BANGLADESH-MICS-2019-REPORT:-KEY-FINDINGS" TargetMode="External"/><Relationship Id="rId36" Type="http://schemas.openxmlformats.org/officeDocument/2006/relationships/hyperlink" Target="https://bipadportal.gov.np/" TargetMode="External"/><Relationship Id="rId49" Type="http://schemas.openxmlformats.org/officeDocument/2006/relationships/hyperlink" Target="https://www.frontiersin.org/articles/10.3389/fpos.2021.708584/full" TargetMode="External"/><Relationship Id="rId57" Type="http://schemas.openxmlformats.org/officeDocument/2006/relationships/hyperlink" Target="https://www.econstor.eu/bitstream/10419/54940/1/680297537.pdf" TargetMode="External"/><Relationship Id="rId10" Type="http://schemas.openxmlformats.org/officeDocument/2006/relationships/hyperlink" Target="http://www.oecd.org/dac/effectiveness/hlf-1thefirsthighlevelforumonaideffectivenessrome.htm" TargetMode="External"/><Relationship Id="rId31" Type="http://schemas.openxmlformats.org/officeDocument/2006/relationships/hyperlink" Target="https://unstats.un.org/iswghs/" TargetMode="External"/><Relationship Id="rId44" Type="http://schemas.openxmlformats.org/officeDocument/2006/relationships/hyperlink" Target="https://www.unocha.org/story/us219-billion-needed-2019-average-length-humanitarian-crises-climbs" TargetMode="External"/><Relationship Id="rId52" Type="http://schemas.openxmlformats.org/officeDocument/2006/relationships/hyperlink" Target="https://smartdatafinance.org/" TargetMode="External"/><Relationship Id="rId60" Type="http://schemas.openxmlformats.org/officeDocument/2006/relationships/hyperlink" Target="https://www.frontiersin.org/articles/10.3389/fpos.2021.687063/full" TargetMode="External"/><Relationship Id="rId65" Type="http://schemas.openxmlformats.org/officeDocument/2006/relationships/hyperlink" Target="https://globalpublicinvestment.org/" TargetMode="External"/><Relationship Id="rId4" Type="http://schemas.openxmlformats.org/officeDocument/2006/relationships/hyperlink" Target="https://paris21.org/news-center/news/press2020-under-covid-19-worrying-stagnation-funding-despite-growing-data-demand" TargetMode="External"/><Relationship Id="rId9" Type="http://schemas.openxmlformats.org/officeDocument/2006/relationships/hyperlink" Target="https://www.oecd.org/dac/effectiveness/20896122.pdf" TargetMode="External"/><Relationship Id="rId13" Type="http://schemas.openxmlformats.org/officeDocument/2006/relationships/hyperlink" Target="https://www.oecd.org/dac/effectiveness/45827311.pdf" TargetMode="External"/><Relationship Id="rId18" Type="http://schemas.openxmlformats.org/officeDocument/2006/relationships/hyperlink" Target="https://www.effectivecooperation.org/system/files/2020-05/2019-Senior-Level-Meeting-Co-Chair-Statement.pdf" TargetMode="External"/><Relationship Id="rId39" Type="http://schemas.openxmlformats.org/officeDocument/2006/relationships/hyperlink" Target="https://www.unocha.org/es/themes/humanitarian-development-nex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s\Downloads\Word-templates-updated-4-February-2021\Discussion%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15766856454104B0C99EF2C7DFC2E0"/>
        <w:category>
          <w:name w:val="General"/>
          <w:gallery w:val="placeholder"/>
        </w:category>
        <w:types>
          <w:type w:val="bbPlcHdr"/>
        </w:types>
        <w:behaviors>
          <w:behavior w:val="content"/>
        </w:behaviors>
        <w:guid w:val="{2F36800F-B5C3-480C-AB3F-638B2FB7E0FB}"/>
      </w:docPartPr>
      <w:docPartBody>
        <w:p w:rsidR="00BF6CF3" w:rsidRDefault="003205A4">
          <w:r w:rsidRPr="001D6ED5">
            <w:rPr>
              <w:rStyle w:val="PlaceholderText"/>
            </w:rPr>
            <w:t>[Title]</w:t>
          </w:r>
        </w:p>
      </w:docPartBody>
    </w:docPart>
    <w:docPart>
      <w:docPartPr>
        <w:name w:val="61F9E4EA3C3A4D639E09CADB23C73F34"/>
        <w:category>
          <w:name w:val="General"/>
          <w:gallery w:val="placeholder"/>
        </w:category>
        <w:types>
          <w:type w:val="bbPlcHdr"/>
        </w:types>
        <w:behaviors>
          <w:behavior w:val="content"/>
        </w:behaviors>
        <w:guid w:val="{81E97FCF-C68D-4FD9-9B89-3580F15908DF}"/>
      </w:docPartPr>
      <w:docPartBody>
        <w:p w:rsidR="00BF6CF3" w:rsidRDefault="003205A4">
          <w:r w:rsidRPr="001D6ED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heme Body)">
    <w:altName w:val="Arial"/>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A4"/>
    <w:rsid w:val="001965E9"/>
    <w:rsid w:val="003205A4"/>
    <w:rsid w:val="004913AD"/>
    <w:rsid w:val="006312A2"/>
    <w:rsid w:val="00761E98"/>
    <w:rsid w:val="007B0AA6"/>
    <w:rsid w:val="00877A43"/>
    <w:rsid w:val="00955246"/>
    <w:rsid w:val="00B31C0B"/>
    <w:rsid w:val="00B453AC"/>
    <w:rsid w:val="00B573A5"/>
    <w:rsid w:val="00BF6CF3"/>
    <w:rsid w:val="00EB2F06"/>
    <w:rsid w:val="00F32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5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6C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I blue monochrome colour theme">
  <a:themeElements>
    <a:clrScheme name="DI blue">
      <a:dk1>
        <a:sysClr val="windowText" lastClr="000000"/>
      </a:dk1>
      <a:lt1>
        <a:sysClr val="window" lastClr="FFFFFF"/>
      </a:lt1>
      <a:dk2>
        <a:srgbClr val="008ACC"/>
      </a:dk2>
      <a:lt2>
        <a:srgbClr val="453F43"/>
      </a:lt2>
      <a:accent1>
        <a:srgbClr val="008ACC"/>
      </a:accent1>
      <a:accent2>
        <a:srgbClr val="88BAE6"/>
      </a:accent2>
      <a:accent3>
        <a:srgbClr val="5DA3DA"/>
      </a:accent3>
      <a:accent4>
        <a:srgbClr val="0072B2"/>
      </a:accent4>
      <a:accent5>
        <a:srgbClr val="0D467C"/>
      </a:accent5>
      <a:accent6>
        <a:srgbClr val="6B656A"/>
      </a:accent6>
      <a:hlink>
        <a:srgbClr val="008ACC"/>
      </a:hlink>
      <a:folHlink>
        <a:srgbClr val="6B656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EBE7-E68A-43B6-8244-0775199D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 paper</Template>
  <TotalTime>17</TotalTime>
  <Pages>32</Pages>
  <Words>6461</Words>
  <Characters>36828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Data disharmony: How can donors better act on their commitments?</vt:lpstr>
    </vt:vector>
  </TitlesOfParts>
  <Company/>
  <LinksUpToDate>false</LinksUpToDate>
  <CharactersWithSpaces>43203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disharmony: How can donors better act on their commitments?</dc:title>
  <dc:subject/>
  <dc:creator>Louise Summerling</dc:creator>
  <cp:keywords/>
  <dc:description/>
  <cp:lastModifiedBy>Georgina Carver</cp:lastModifiedBy>
  <cp:revision>8</cp:revision>
  <cp:lastPrinted>2022-02-28T12:17:00Z</cp:lastPrinted>
  <dcterms:created xsi:type="dcterms:W3CDTF">2022-02-28T15:14:00Z</dcterms:created>
  <dcterms:modified xsi:type="dcterms:W3CDTF">2022-03-01T21:10:00Z</dcterms:modified>
</cp:coreProperties>
</file>